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الحبطي
</w:t>
      </w:r>
    </w:p>
    <w:p>
      <w:pPr/>
      <w:r>
        <w:rPr/>
        <w:t xml:space="preserve">الحبطي حدثنا ابن حماد، قال: حدثنا عباس، عن يحيى، قال: الحبطي، الذي كان جار السهمي، ليس بشيء.</w:t>
      </w:r>
    </w:p>
    <w:p/>
    <w:p>
      <w:pPr/>
      <w:r>
        <w:rPr/>
        <w:t xml:space="preserve">تم الجزء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الحبطي جار السهمي
</w:t>
      </w:r>
    </w:p>
    <w:p>
      <w:pPr/>
      <w:r>
        <w:rPr/>
        <w:t xml:space="preserve">الحبطي جار السهمي </w:t>
      </w:r>
    </w:p>
    <w:p/>
    <w:p>
      <w:pPr/>
      <w:r>
        <w:rPr/>
        <w:t xml:space="preserve">قال يحيى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2026-06-10T10:38:06+03:00</dcterms:created>
  <dcterms:modified xsi:type="dcterms:W3CDTF">2026-06-10T10:38:06+03:00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