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محمد
</w:t>
      </w:r>
    </w:p>
    <w:p>
      <w:pPr/>
      <w:r>
        <w:rPr/>
        <w:t xml:space="preserve">يوسف بن محمد صلاح الدين ابن الملك الحافظ غياث الدين ابن الملك السعيد شاهنشاه ابن الملك الأمجد بهرام شاه بن فروخ شاه بن شاهنشاه بن أيوب.</w:t>
      </w:r>
    </w:p>
    <w:p/>
    <w:p>
      <w:pPr/>
      <w:r>
        <w:rPr/>
        <w:t xml:space="preserve">سمع جزء إسماعيل الصفار على إسماعيل العراقي حاضرا في الثالثة سنة ست وأربعين وست مئة.</w:t>
      </w:r>
    </w:p>
    <w:p/>
    <w:p>
      <w:pPr/>
      <w:r>
        <w:rPr/>
        <w:t xml:space="preserve">وتوفي - رحمه الله تعالى - في خامس عشري ذي القعدة سنة خمس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660)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2026-06-19T12:20:23+03:00</dcterms:created>
  <dcterms:modified xsi:type="dcterms:W3CDTF">2026-06-19T12:20:23+03:00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