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أحمد بن محمد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أحمد بن محمد بن عمر
</w:t>
      </w:r>
    </w:p>
    <w:p>
      <w:pPr/>
      <w:r>
        <w:rPr/>
        <w:t xml:space="preserve">يوسف بن أحمد بن محمد بن عمر الفقيه محب الدين المقدسي الحنبلي.</w:t>
      </w:r>
    </w:p>
    <w:p/>
    <w:p>
      <w:pPr/>
      <w:r>
        <w:rPr/>
        <w:t xml:space="preserve">كان يشهد تحت الساعات بدمشق، ولديه فضيلة، وفيه إقدام وشهامة، ودخل بلاد الروم وغيرها، وسمع من خطيب مردا، ولم يحدث.</w:t>
      </w:r>
    </w:p>
    <w:p/>
    <w:p>
      <w:pPr/>
      <w:r>
        <w:rPr/>
        <w:t xml:space="preserve">توفي - رحمه الله تعالى - في ثاني عشر ربيع الآخر سنة ثمان وتسعين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2026-06-21T13:36:00+03:00</dcterms:created>
  <dcterms:modified xsi:type="dcterms:W3CDTF">2026-06-21T13:36:00+03:00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