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الملك
</w:t>
      </w:r>
    </w:p>
    <w:p>
      <w:pPr/>
      <w:r>
        <w:rPr/>
        <w:t xml:space="preserve">يحيى الملك إمام الدين البكري القزويني، صاحب الديوان بالعراق.</w:t>
      </w:r>
    </w:p>
    <w:p/>
    <w:p>
      <w:pPr/>
      <w:r>
        <w:rPr/>
        <w:t xml:space="preserve">توفي رحمه الله تعالى بالحلة سنة سبع مئة، ونقل الى بغداد، ودفن بمدرسته بدرب فراشا، وتولى بعده ابنه افتخار الدين مكانه.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2026-06-21T13:31:17+03:00</dcterms:created>
  <dcterms:modified xsi:type="dcterms:W3CDTF">2026-06-21T13:31:17+03:00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