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يحيى بن محمد بن عبد الرحمن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يحيى بن محمد بن عبد الرحمن
</w:t>
      </w:r>
    </w:p>
    <w:p>
      <w:pPr/>
      <w:r>
        <w:rPr/>
        <w:t xml:space="preserve">يحيى بن محمد بن عبد الرحمن القاضي الرئيس جمال الدين بن الفويرة، تقدم ذكر ولديه علاء الدين علي والشيخ بدر الدين محمد الحنفي في مكانيهما.</w:t>
      </w:r>
    </w:p>
    <w:p/>
    <w:p>
      <w:pPr/>
      <w:r>
        <w:rPr/>
        <w:t xml:space="preserve">كان القاضي جمال الدين رئيسا في نفسه، يتودد الى الناس، ويخدمهم، ويتجمل معهم.</w:t>
      </w:r>
    </w:p>
    <w:p/>
    <w:p>
      <w:pPr/>
      <w:r>
        <w:rPr/>
        <w:t xml:space="preserve">توفي رحمه الله تعالى في أول جمادى الأولى سنة اثنتين وأربعين وسبع مئة.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5،ص 578)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2026-06-21T13:34:32+03:00</dcterms:created>
  <dcterms:modified xsi:type="dcterms:W3CDTF">2026-06-21T13:34:32+03:00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