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يحيى بن أحمد
</w:t>
      </w:r>
    </w:p>
    <w:p>
      <w:pPr>
        <w:jc w:val="start"/>
        <w:bidi/>
      </w:pPr>
      <w:r>
        <w:rPr>
          <w:rFonts w:ascii="arial" w:hAnsi="arial" w:eastAsia="arial" w:cs="arial"/>
          <w:sz w:val="28"/>
          <w:szCs w:val="28"/>
          <w:b w:val="1"/>
          <w:bCs w:val="1"/>
          <w:rtl/>
        </w:rPr>
        <w:t xml:space="preserve">يحيى بن أحمد
</w:t>
      </w:r>
    </w:p>
    <w:p>
      <w:pPr/>
      <w:r>
        <w:rPr/>
        <w:t xml:space="preserve">يحيى بن أحمد ابن خذاذاذ الخلاطي الشافعي، وحيد الدين، أبو حامد الروحي. شيخ القراء، إمام الكلاسة بالجامع الأموي.</w:t>
      </w:r>
    </w:p>
    <w:p/>
    <w:p>
      <w:pPr/>
      <w:r>
        <w:rPr/>
        <w:t xml:space="preserve">توفي رحمه الله تعالى حادي عشري جمادى الأولى سنة عشرين وسبع مئة.</w:t>
      </w:r>
    </w:p>
    <w:p/>
    <w:p>
      <w:pPr/>
      <w:r>
        <w:rPr/>
        <w:t xml:space="preserve">قرأ بالروم على الصائن البصري. وولي إمامة الكلاسة نحو خمس عشرة سنة، وقبلها كان يؤم بمشهد ابن عروة. وولي مشيخة الخانقاه الأسدية، وبها مات رحمه الله تعالى.</w:t>
      </w:r>
    </w:p>
    <w:p/>
    <w:p>
      <w:pPr/>
      <w:r>
        <w:rPr/>
        <w:t xml:space="preserve">وكان إماما عارفا بفن القراءات، وبلغ الثمانين من عمره، وحضر جنازته خلق عظيم.</w:t>
      </w:r>
    </w:p>
    <w:p>
      <w:pPr>
        <w:jc w:val="start"/>
        <w:bidi/>
      </w:pPr>
      <w:r>
        <w:rPr>
          <w:sz w:val="24"/>
          <w:szCs w:val="24"/>
          <w:b w:val="1"/>
          <w:bCs w:val="1"/>
          <w:rtl/>
        </w:rPr>
        <w:t xml:space="preserve">
أعيان العصر وأعوان النصر،(دار الفكر المعاصر، بيروت - لبنان / دار الفكر، دمشق - سوريا،1998،ط 1،ج 5،ص 546)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أحمد بن خداداد الخلاطي وحيد الدين أبو حامد
</w:t>
      </w:r>
    </w:p>
    <w:p>
      <w:pPr/>
      <w:r>
        <w:rPr/>
        <w:t xml:space="preserve">يحيى بن أحمد بن خداداد الخلاطي وحيد الدين أبو حامد يحيى بن أحمد بن خداداد الخلاطي وحيد الدين أبو حامد الرومي المقرئ قرأ على الصائن البصري صاحب المنتخب وقدم دمشق فقام بالكلاسة مدة طويلة قال الذهبي قدم دمشق أيام الفاضل وكان بصيرا بالقراءآت ودقائقها مستظهرا للخلاف عارفا بالقصيد وبالمقاطيع والبادي تام السكينة حسن الديانة كثير التواضع والحياء ولد سنة 641 ثم قال وبلغني أنه يترفض ويأخذ على الإجازة فالله أعلم وولي مشيخة الأسدية وكان المجد الطوسي يكرمه مات في جمادى الأولى سنة 720 وقد جاوز الثمانين</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2026-06-21T17:02:35+03:00</dcterms:created>
  <dcterms:modified xsi:type="dcterms:W3CDTF">2026-06-21T17:02:35+03:00</dcterms:modified>
</cp:coreProperties>
</file>

<file path=docProps/custom.xml><?xml version="1.0" encoding="utf-8"?>
<Properties xmlns="http://schemas.openxmlformats.org/officeDocument/2006/custom-properties" xmlns:vt="http://schemas.openxmlformats.org/officeDocument/2006/docPropsVTypes"/>
</file>