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العلمي
</w:t>
      </w:r>
    </w:p>
    <w:p>
      <w:pPr/>
      <w:r>
        <w:rPr/>
        <w:t xml:space="preserve">محمد العلمي  محمد (بالفتح) بن محمد (بالضم) ابن إبراهيم العلمي الحسنى: بحاثة مغربي، من أهل فاس. ووفاته بها. من كتبه (حل العقدة على مقاصد العمدة - ط) و (تقريب البعيد على أصول الراصد الجديد - ط) و (مرآة الحساب - ط) و (المنهج المسير في الربع المقنطر - ط) رسالة، و (العروة الوثقى - ط) في الفرائض، و (جوهرة وماسة في شعراء القاموس والحماسة) و (حاشية على الفشتالي في الربع المجيب - ط) و (إنهاض الهمم العالية، في التوقيت والتعديل والهيئة والجغرافية) ترجم فيه علماء هذه الفنون، و (إيضاح السبيل) ذيل لنيل الابتهاج المطبوع مع الديباج، و (مفتاح أبواب الصروح في تنقل الشمس على البروج والسطوح) كبير وصغير، تكلم فيه على تخطيط الرخامة الشمسية.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2026-07-23T18:16:08+03:00</dcterms:created>
  <dcterms:modified xsi:type="dcterms:W3CDTF">2026-07-23T18:16:08+03:00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