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نوروز
</w:t>
      </w:r>
    </w:p>
    <w:p>
      <w:pPr>
        <w:jc w:val="start"/>
        <w:bidi/>
      </w:pPr>
      <w:r>
        <w:rPr>
          <w:rFonts w:ascii="arial" w:hAnsi="arial" w:eastAsia="arial" w:cs="arial"/>
          <w:sz w:val="28"/>
          <w:szCs w:val="28"/>
          <w:b w:val="1"/>
          <w:bCs w:val="1"/>
          <w:rtl/>
        </w:rPr>
        <w:t xml:space="preserve">نوروز
</w:t>
      </w:r>
    </w:p>
    <w:p>
      <w:pPr/>
      <w:r>
        <w:rPr/>
        <w:t xml:space="preserve">نوروز الأمير سيف الدين. كان في مصر معظما الى أن عاد الأمير سيف الدين طاز من الحجاز فأقام قليلا ورسم بإخراجه الى دمشق على إقطاع الأمير سيف الدين شيخو القازاني الساقي، وحضر إليه على ثلاثة أرؤس من خسل البريد، ووصل الى دمشق في رابع عشر شهر ربيع الآخر سنة اثنتين وخمسين وسبع مئة، وأقام بها أميرا الى أن ورد المرسوم على الأمير سيف الدين أرغون الكاملي نائب الشام بإمساكه، فاعتقله بقلعة دمشق، وجرى ما جرى في واقعة بيبغاروس، وكان اعتقاله في حادي عشري شعبان من السنة المذكورة.</w:t>
      </w:r>
    </w:p>
    <w:p/>
    <w:p>
      <w:pPr/>
      <w:r>
        <w:rPr/>
        <w:t xml:space="preserve">ثم أخرج عنه وتوجه الى مصر فيما أظن، ثم أعيد الى دمشق، ولم يزل الى أن كانت واقعة بيدمر، وحضر السلطان الملك المنصور محمد بن حاجي، فقطعت إمرته.</w:t>
      </w:r>
    </w:p>
    <w:p/>
    <w:p>
      <w:pPr/>
      <w:r>
        <w:rPr/>
        <w:t xml:space="preserve">ولما كان في العشر الأوسط من شوال سنة اثنتين وستين وسبع مئة توفي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2026-06-21T19:33:37+03:00</dcterms:created>
  <dcterms:modified xsi:type="dcterms:W3CDTF">2026-06-21T19:33:37+03:00</dcterms:modified>
</cp:coreProperties>
</file>

<file path=docProps/custom.xml><?xml version="1.0" encoding="utf-8"?>
<Properties xmlns="http://schemas.openxmlformats.org/officeDocument/2006/custom-properties" xmlns:vt="http://schemas.openxmlformats.org/officeDocument/2006/docPropsVTypes"/>
</file>