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عمرو
</w:t>
      </w:r>
    </w:p>
    <w:p>
      <w:pPr/>
      <w:r>
        <w:rPr/>
        <w:t xml:space="preserve">ابن عمرو محمد بن محمد التهامي بن محمد ابن عمرو: أديب لغوي، مسند، رحال، من (بني عمرو) المنتسبين للأنصار، أندلسي الأصل، من أهل الرباط (بالمغرب) . ولد ونشأ بها وتوفي بمكة.</w:t>
      </w:r>
    </w:p>
    <w:p/>
    <w:p>
      <w:pPr/>
      <w:r>
        <w:rPr/>
        <w:t xml:space="preserve">له (فهرست - خ) في تراجم شيوخه، و (الرحلة الحجازية - خ) و (كناشة - خ) و (ديوان شعر - خ) ولمحمد بن عبد السلام السائح، كتاب (سوق المهر الى قافية ابن عمرو - ط) في شرح قصيدة لصاحب الترجمة، على روي القاف.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2026-07-26T10:17:53+03:00</dcterms:created>
  <dcterms:modified xsi:type="dcterms:W3CDTF">2026-07-26T10:17:53+03:00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