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أيوب بن علي
</w:t>
      </w:r>
    </w:p>
    <w:p>
      <w:pPr>
        <w:jc w:val="start"/>
        <w:bidi/>
      </w:pPr>
      <w:r>
        <w:rPr>
          <w:rFonts w:ascii="arial" w:hAnsi="arial" w:eastAsia="arial" w:cs="arial"/>
          <w:sz w:val="28"/>
          <w:szCs w:val="28"/>
          <w:b w:val="1"/>
          <w:bCs w:val="1"/>
          <w:rtl/>
        </w:rPr>
        <w:t xml:space="preserve">محمد بن أيوب بن علي
</w:t>
      </w:r>
    </w:p>
    <w:p>
      <w:pPr/>
      <w:r>
        <w:rPr/>
        <w:t xml:space="preserve">محمد بن أيوب بن علي ابن حازم الدمشقي الشافعي، المعروف بابن الطحان، نقيب السبع والشامية بدمشق.</w:t>
      </w:r>
    </w:p>
    <w:p/>
    <w:p>
      <w:pPr/>
      <w:r>
        <w:rPr/>
        <w:t xml:space="preserve">تفقه وقرأ بروايات، وأذن مدة بتربة أم الصالح.</w:t>
      </w:r>
    </w:p>
    <w:p/>
    <w:p>
      <w:pPr/>
      <w:r>
        <w:rPr/>
        <w:t xml:space="preserve">وكان فاضلا مناظرا حسن الخلق، وفيه وسوسة في أمر المياه.</w:t>
      </w:r>
    </w:p>
    <w:p/>
    <w:p>
      <w:pPr/>
      <w:r>
        <w:rPr/>
        <w:t xml:space="preserve">سمع مع زوج خالته النجم بن الشاطبي، ومن عثمان خطيب القرافة جزءا، ومن الزين خالد والكرماني ويوسف بن يعقوب الإربيلي، وعجز وانقطع بالشامية، وسمع منه جماعة الطلبة.</w:t>
      </w:r>
    </w:p>
    <w:p/>
    <w:p>
      <w:pPr/>
      <w:r>
        <w:rPr/>
        <w:t xml:space="preserve">قال شيخنا الذهبي: ورويت عنه ’’المعجم’’.</w:t>
      </w:r>
    </w:p>
    <w:p/>
    <w:p>
      <w:pPr/>
      <w:r>
        <w:rPr/>
        <w:t xml:space="preserve">قلت أنا: وسمعت عليه بقراءة ابن طغريل الجزء الثاني من الأول من ’’فرائد’’ القاضي أبي الحسين عبد الباقي بن قانع بن مرزوق الحافظ بالمدرسة الرواحية.</w:t>
      </w:r>
    </w:p>
    <w:p/>
    <w:p>
      <w:pPr/>
      <w:r>
        <w:rPr/>
        <w:t xml:space="preserve">ومولده سنة اثنتين وخمسين وست مئة في شهر ربيع الأول.</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علي بن حازم
</w:t>
      </w:r>
    </w:p>
    <w:p>
      <w:pPr/>
      <w:r>
        <w:rPr/>
        <w:t xml:space="preserve">محمد بن أيوب بن علي بن حازم محمد بن أيوب بن علي بن حازم الدمشقي الشافعي نقيب السبع المعروف بابن الطحان ولد في ربيع الأول سنة 652 وسمع من عثمان خطيب القرافة جزءا ومن الزين خالد ويوسف الاربلي وغيرهم وكان فاضلا حسن الخلق لكن فيه وسوسة في المياه وكان تفقه وقرأ بالروايات ثم عجز وانقطع بالشامية وذكره الذهبي في سير النبلاء ومات في رجب سنة 735 ورأيت في مشيخة أبي جعفر ابن الكويك أنه مات في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علي بن خازم - بالخاء المعجمة - الشافعي النقيب، الشيخ شمس الدين نقيب الشامية المعروف بابن الطحان
</w:t>
      </w:r>
    </w:p>
    <w:p>
      <w:pPr/>
      <w:r>
        <w:rPr/>
        <w:t xml:space="preserve">محمد بن أيوب بن علي بن خازم - بالخاء المعجمة - الشافعي النقيب، الشيخ شمس الدين نقيب الشامية المعروف بابن الطحان. سمع من عثمان ابن خطيب القرافة، وعمر بن محمد الكرماني، وابن أبي عمر، وعبد الحريم بن عبد الملك، وأبي بكر بن محمد الهروي، وعبد العزيز بن عبد الرحيم بن عساكر، وخالد ابن النابلسي وغيرهم، وحدث.</w:t>
      </w:r>
    </w:p>
    <w:p/>
    <w:p>
      <w:pPr/>
      <w:r>
        <w:rPr/>
        <w:t xml:space="preserve">سمع منه المزي، والذهبي، والبرزالي، وذكره في ’’معجمه’’ فقال: رجل جيد مشكور السيرة، يقرأ القرآن بصوت حسن، واشتغل بالفقه وكتب بخطه كثيرا من كتب العلم. انتهى كلامه.</w:t>
      </w:r>
    </w:p>
    <w:p/>
    <w:p>
      <w:pPr/>
      <w:r>
        <w:rPr/>
        <w:t xml:space="preserve">مولده في يوم الاثنين ثاني عشر ربيع الأول سنة اثنتين وخمسين وست مئة. وتوفي ليلة الاثنين سابع رجب سنة سبع وثلاثين وسبع مئة بالشامية ظاهر دمشق، وصلي عليه بجامع العقيبة، ودفن بمقبرة باب الفراديس.</w:t>
      </w:r>
    </w:p>
    <w:p/>
    <w:p>
      <w:pPr/>
      <w:r>
        <w:rPr/>
        <w:t xml:space="preserve">أجاز لنا في سنة ثمان وعشرين وسبع مئة.</w:t>
      </w:r>
    </w:p>
    <w:p/>
    <w:p>
      <w:pPr/>
      <w:r>
        <w:rPr/>
        <w:t xml:space="preserve">أخبرنا الشيخ المسند الصالح شمس الدين أبو عبد الله محمد بن أيوب بن علي بن خازم النقيب إذنا، قال: أخبرنا أبو عمرو عثمان بن علي بن عبد الواحد بن الحسين بن أحمد القرشي المعروف بابن خطيب القرافة قراءة عليه وأنا حاضر في الخامسة من ربيع الأول سنة ست وخمسين وست مئة، قال: أخبرنا أبو طاهر أحمد بن محمد بن أحمد السلفي إجازة، قال: أخبرنا أبو غالب محمد بن الحسن بن أحمد ابن الباقلاني، قال: أخبرنا أبو القاسم عبد الملك بن محمد بن عبد الله بن بشران المعدل، قال: أخبرنا القاضي أبو الحسين عبد الباقي بن قانع بن مرزوق الحافظ في صفر سنة تسع وأربعين وثلاث مئة، قال: حدثنا عبد الله بن أحمد، قال: حدثنا أبي، قال: حدثنا أبو قطن، قال: حدثنا شعبة، عن الحكم، عن إبراهيم، عن همام قال: مر رجل، فقالوا: هذا يبلغ الأمراء. فقال حذيفة: سمعت رسول الله صلى الله عليه وسلم يقول: ’’لا يدخل الجنة قتات’’.</w:t>
      </w:r>
    </w:p>
    <w:p/>
    <w:p>
      <w:pPr/>
      <w:r>
        <w:rPr/>
        <w:t xml:space="preserve">أخرجه البخاري في الأدب عن أبي نعيم، عن سفيان، عن منصور، عن إبراهيم، عن همام به. وأخرجه مسلم في الإيمان عن علي بن حجر وإسحاق بن إبراهيم؛ كلاهما عن جرير، عن منصور، به. وعن أبي بكر، عن وكيع وأبي معاوية. وعن منجاب بن الحارث، عن علي بن مسهر؛ ثلاثتهم عن الأعمش عن إبراهيم به. وأخرجه أبو داود في الأدب عن مسدد وأبي بكر؛ كلاهما عن أبي معاوية. وأخرجه الترمذي في البر عن محمد بن يحيى بن أبي عمر، عن سفيان بن عيينة، عن منصور، به. وأخرجه النسائي في التفسير عن إسماعيل بن مسعود، عن بشر بن المفضل، عن شعبة، عن منصور، به. فوقع لنا عاليا.</w:t>
      </w:r>
    </w:p>
    <w:p>
      <w:pPr>
        <w:jc w:val="start"/>
        <w:bidi/>
      </w:pPr>
      <w:r>
        <w:rPr>
          <w:sz w:val="24"/>
          <w:szCs w:val="24"/>
          <w:b w:val="1"/>
          <w:bCs w:val="1"/>
          <w:rtl/>
        </w:rPr>
        <w:t xml:space="preserve">
معجم الشيوخ للسبكي،(دار الغرب الإسلامي،2004،ط 1،ج 1،ص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2026-07-27T10:13:07+03:00</dcterms:created>
  <dcterms:modified xsi:type="dcterms:W3CDTF">2026-07-27T10:13:07+03:00</dcterms:modified>
</cp:coreProperties>
</file>

<file path=docProps/custom.xml><?xml version="1.0" encoding="utf-8"?>
<Properties xmlns="http://schemas.openxmlformats.org/officeDocument/2006/custom-properties" xmlns:vt="http://schemas.openxmlformats.org/officeDocument/2006/docPropsVTypes"/>
</file>