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شريف
</w:t>
      </w:r>
    </w:p>
    <w:p>
      <w:pPr>
        <w:jc w:val="start"/>
        <w:bidi/>
      </w:pPr>
      <w:r>
        <w:rPr>
          <w:rFonts w:ascii="arial" w:hAnsi="arial" w:eastAsia="arial" w:cs="arial"/>
          <w:sz w:val="28"/>
          <w:szCs w:val="28"/>
          <w:b w:val="1"/>
          <w:bCs w:val="1"/>
          <w:rtl/>
        </w:rPr>
        <w:t xml:space="preserve">ابن أبي شريف
</w:t>
      </w:r>
    </w:p>
    <w:p>
      <w:pPr/>
      <w:r>
        <w:rPr/>
        <w:t xml:space="preserve">ابن أبي شريف  محمد بن محمد بن ابي بكر بن علي بن ابي شريف المقدسي، ابو المعالي، كمال الدين ابن الامير ناصر الدين: عالم بالاصول، من فقهاء الشافعية. من أهل بيت المقدس، مولدا ووفاة. نعته ابن العماد بالامام شيخ الاسلام ملك العلماء الاعلام. درس وافتى ببلده وبمصر. له تصانيف، منها (الدرر اللوامع بتحرير جمع الجوامع -ط) في اصول الفقه، و (الفرائد في حل شرح العقائد -خ) و (المسامرة على المسايرة -ط) في التوحيد. </w:t>
      </w:r>
    </w:p>
    <w:p>
      <w:pPr>
        <w:jc w:val="start"/>
        <w:bidi/>
      </w:pPr>
      <w:r>
        <w:rPr>
          <w:sz w:val="24"/>
          <w:szCs w:val="24"/>
          <w:b w:val="1"/>
          <w:bCs w:val="1"/>
          <w:rtl/>
        </w:rPr>
        <w:t xml:space="preserve">
الأعلام،(دار العلم للملايين - بيروت،2002،ط 15،ج 7،ص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2026-07-27T08:45:27+03:00</dcterms:created>
  <dcterms:modified xsi:type="dcterms:W3CDTF">2026-07-27T08:45:27+03:00</dcterms:modified>
</cp:coreProperties>
</file>

<file path=docProps/custom.xml><?xml version="1.0" encoding="utf-8"?>
<Properties xmlns="http://schemas.openxmlformats.org/officeDocument/2006/custom-properties" xmlns:vt="http://schemas.openxmlformats.org/officeDocument/2006/docPropsVTypes"/>
</file>