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خضر
</w:t>
      </w:r>
    </w:p>
    <w:p>
      <w:pPr/>
      <w:r>
        <w:rPr/>
        <w:t xml:space="preserve">ابن خضر  أحمد بن محمد بن عمر بن مسلم، أبو العباس، شهاب الدين العمري المعروف بابن خضر، ويسمى ’’قول أحمد’’: فقيه حنفي، دمشقي. صالحي. ولي إفتاء دار العدل (سنة 70) له كتب، منها (حاشية على شرح العقائد النسفية - ط) و (حاشية على الفوائد الفنارية على ايساغوجي - ط) في المنطق، و (شرح درر البحار للقونوي) مجلدات، في فروع الحنفية، قال ابن قاضي شهبة: و (السراط المستقيم) في التفسير، و (شرح رسالة الاستعارة) لأبي القاسم الليثي. توفي بالصالحية.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2026-07-23T01:34:20+03:00</dcterms:created>
  <dcterms:modified xsi:type="dcterms:W3CDTF">2026-07-23T01:34:20+03:00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