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تمر الموسوي
</w:t>
      </w:r>
    </w:p>
    <w:p>
      <w:pPr>
        <w:jc w:val="start"/>
        <w:bidi/>
      </w:pPr>
      <w:r>
        <w:rPr>
          <w:rFonts w:ascii="arial" w:hAnsi="arial" w:eastAsia="arial" w:cs="arial"/>
          <w:sz w:val="28"/>
          <w:szCs w:val="28"/>
          <w:b w:val="1"/>
          <w:bCs w:val="1"/>
          <w:rtl/>
        </w:rPr>
        <w:t xml:space="preserve">تمر الموسوي
</w:t>
      </w:r>
    </w:p>
    <w:p>
      <w:pPr/>
      <w:r>
        <w:rPr/>
        <w:t xml:space="preserve">تمر الموسوي الأمير سيف الدين الناصري.</w:t>
      </w:r>
    </w:p>
    <w:p/>
    <w:p>
      <w:pPr/>
      <w:r>
        <w:rPr/>
        <w:t xml:space="preserve">كان خفة إذا تحرك، وعليه خفر إذا تثنى على جواده أو تورك، وكان إذا رأى وجها حسنا هام، وقطع علائق الأوهام. وكان في نفس السلطان منه لذلك، إلا أن الأمير سيف الدين بكتمر الساقي كان يصده عن أذاه، ولا يصوب فيه رأيا يراه، فلما مات بكتمر الساقي أخرجه إلى دمشق فأقام فيها إلى أن تحرك طشتمر نائب حلب في واقعة الناصر، وكاد يمشي في الباطن ويحلف الأمراء له، فأمسك وأودع في قلعة دمشق سنة اثنتين وأربعين وسبع مئة في أيام الطنبغا، ثم أفرج عنه لما صار الأمر للناصر أحمد.</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2026-07-27T08:56:01+03:00</dcterms:created>
  <dcterms:modified xsi:type="dcterms:W3CDTF">2026-07-27T08:56:01+03:00</dcterms:modified>
</cp:coreProperties>
</file>

<file path=docProps/custom.xml><?xml version="1.0" encoding="utf-8"?>
<Properties xmlns="http://schemas.openxmlformats.org/officeDocument/2006/custom-properties" xmlns:vt="http://schemas.openxmlformats.org/officeDocument/2006/docPropsVTypes"/>
</file>