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زرقالة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زرقالة
</w:t>
      </w:r>
    </w:p>
    <w:p>
      <w:pPr/>
      <w:r>
        <w:rPr/>
        <w:t xml:space="preserve">ابن زرقالة  أحمد بن محمد بن علي بن أحمد ابن أحمد بن علي، أبو جعفر وأبو العباس، القيسي المعروف بابن زرقالة: أديب، له شعر. من أهل المرية بالأندلس، مولدا ووفاة. ناب عن قاضيها. وكان حسن الخط المشرقي. جمع ما أنشده أحمد بن علي ابن خاتمة من نظمه في التورية، وسماه (رائق التحلية في فائق التورية - خ) في خزانة الأسكوريال (الرقم 419).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2026-07-27T14:30:16+03:00</dcterms:created>
  <dcterms:modified xsi:type="dcterms:W3CDTF">2026-07-27T14:30:16+03:00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