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w:t>
      </w:r>
    </w:p>
    <w:p>
      <w:pPr>
        <w:jc w:val="start"/>
        <w:bidi/>
      </w:pPr>
      <w:r>
        <w:rPr>
          <w:rFonts w:ascii="arial" w:hAnsi="arial" w:eastAsia="arial" w:cs="arial"/>
          <w:sz w:val="28"/>
          <w:szCs w:val="28"/>
          <w:b w:val="1"/>
          <w:bCs w:val="1"/>
          <w:rtl/>
        </w:rPr>
        <w:t xml:space="preserve">ابن حمزة
</w:t>
      </w:r>
    </w:p>
    <w:p>
      <w:pPr/>
      <w:r>
        <w:rPr/>
        <w:t xml:space="preserve">ابن حمزة  محمد بن عمر بن حمزة، محي الدينك فقيه، من علماء الدولة العثمانية. كان جده من بلاد ما وراء النهر، وانتقل إلى انطاكية فولد بها صاحب الترجمة، وتأدب بالعربية. وتنقل في طلب العلم، فزارايران والحجاز، حاجا ومجاورا، واتصل بالسلطان قايتباي في مصر والف له كتاب (النهاية) في الفقه. ورحل إلى بلاد الترك بعد وفاة قايتباي (سنة 903هـ) فاتصل بالسلطان بايزيدخان، والف له كتاب (تهذيب الشمائل) في السيرة النبوية. ورجل إلى حلب فاقام ثماني سنين. وعاد إلى الروم في زمن السلطان سليم، فالف له كتابا في (الغزو) وفضائل الجهاد. ثم استقر في بروسة، وتوفي بها، وقد ولد له نحو مئة ولد. وكان شديد الحملة على المبتدعة. </w:t>
      </w:r>
    </w:p>
    <w:p>
      <w:pPr>
        <w:jc w:val="start"/>
        <w:bidi/>
      </w:pPr>
      <w:r>
        <w:rPr>
          <w:sz w:val="24"/>
          <w:szCs w:val="24"/>
          <w:b w:val="1"/>
          <w:bCs w:val="1"/>
          <w:rtl/>
        </w:rPr>
        <w:t xml:space="preserve">
الأعلام،(دار العلم للملايين - بيروت،2002،ط 15،ج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2026-07-27T13:37:10+03:00</dcterms:created>
  <dcterms:modified xsi:type="dcterms:W3CDTF">2026-07-27T13:37:10+03:00</dcterms:modified>
</cp:coreProperties>
</file>

<file path=docProps/custom.xml><?xml version="1.0" encoding="utf-8"?>
<Properties xmlns="http://schemas.openxmlformats.org/officeDocument/2006/custom-properties" xmlns:vt="http://schemas.openxmlformats.org/officeDocument/2006/docPropsVTypes"/>
</file>