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الوتري
</w:t>
      </w:r>
    </w:p>
    <w:p>
      <w:pPr>
        <w:jc w:val="start"/>
        <w:bidi/>
      </w:pPr>
      <w:r>
        <w:rPr>
          <w:rFonts w:ascii="arial" w:hAnsi="arial" w:eastAsia="arial" w:cs="arial"/>
          <w:sz w:val="28"/>
          <w:szCs w:val="28"/>
          <w:b w:val="1"/>
          <w:bCs w:val="1"/>
          <w:rtl/>
        </w:rPr>
        <w:t xml:space="preserve">الوتري
</w:t>
      </w:r>
    </w:p>
    <w:p>
      <w:pPr/>
      <w:r>
        <w:rPr/>
        <w:t xml:space="preserve">الوتري  محمد علي بن ظاهر الوتري الحسني المدني، نور الدين ابو الحسن: محدث المدينة في عصره، وممن انتعش بهم فن رواية الحديث في المشرق والمغرب. رحل إلى المغرب مرتين واقبل الناس على الاخذ عنه. مولده ووفاته بالمدينة. له كتب، منها (التحفة المدنية في المسلسلات الوترية) اشتملت على خمسين حديثا مسلسلا، ورسالة في (الاوائل) جمع فيها اوائل اربعين كتابا من كتب الحديث، ورسالة في (الكلام على قول الغزالي: ليس في الامكان ابدع مما كان -ط). </w:t>
      </w:r>
    </w:p>
    <w:p>
      <w:pPr>
        <w:jc w:val="start"/>
        <w:bidi/>
      </w:pPr>
      <w:r>
        <w:rPr>
          <w:sz w:val="24"/>
          <w:szCs w:val="24"/>
          <w:b w:val="1"/>
          <w:bCs w:val="1"/>
          <w:rtl/>
        </w:rPr>
        <w:t xml:space="preserve">
الأعلام،(دار العلم للملايين - بيروت،2002،ط 15،ج 6،ص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2026-07-27T00:29:44+03:00</dcterms:created>
  <dcterms:modified xsi:type="dcterms:W3CDTF">2026-07-27T00:29:44+03:00</dcterms:modified>
</cp:coreProperties>
</file>

<file path=docProps/custom.xml><?xml version="1.0" encoding="utf-8"?>
<Properties xmlns="http://schemas.openxmlformats.org/officeDocument/2006/custom-properties" xmlns:vt="http://schemas.openxmlformats.org/officeDocument/2006/docPropsVTypes"/>
</file>