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
</w:t>
      </w:r>
    </w:p>
    <w:p>
      <w:pPr/>
      <w:r>
        <w:rPr/>
        <w:t xml:space="preserve">صدر الشريعة  محمد (بهاء الدين صدر الشريعة) ابن علي (نظام الدولة) بن محمد خان : أديب بالعربية والفارسية، من أعيان النجف. ضاقت به الحياة فرحل إلى طهران ومدح السلطان ناصر الدين شاه. ثم سكن خراسان. وتوفي بطهران ودفن في النجف. قال مهدي كاشف الغطاء : وقفت على جملة من تصانيفه فوجدتها حرية بأن تكتب بالنور على جباه الحور. منها (الفوائد البهية - ط) قال صاحب ماضي النجف : استقينا منه تراجم آبائه مع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2026-07-27T08:08:52+03:00</dcterms:created>
  <dcterms:modified xsi:type="dcterms:W3CDTF">2026-07-27T08:08:52+03:00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