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التميمي
</w:t>
      </w:r>
    </w:p>
    <w:p>
      <w:pPr>
        <w:jc w:val="start"/>
        <w:bidi/>
      </w:pPr>
      <w:r>
        <w:rPr>
          <w:rFonts w:ascii="arial" w:hAnsi="arial" w:eastAsia="arial" w:cs="arial"/>
          <w:sz w:val="28"/>
          <w:szCs w:val="28"/>
          <w:b w:val="1"/>
          <w:bCs w:val="1"/>
          <w:rtl/>
        </w:rPr>
        <w:t xml:space="preserve">التميمي
</w:t>
      </w:r>
    </w:p>
    <w:p>
      <w:pPr/>
      <w:r>
        <w:rPr/>
        <w:t xml:space="preserve">التميمي  محمد بن علي التميمي المغربي التونسي: فاضل من أهل تونس. قدم مصر، وجعل ناظرا لمسجد (ابي الذهب) واوقافه، واتصل بابراهيم (باشا) فكان يعلم اولاده العربية. وكان عالما ذكيا درس في الازهر. وحسنت حاله. وكانت فيه حدة. ولما مات ابراهيم باشا نفاه الخديوي عباس، فذهب إلى الحجاز ثم رحل إلى القسطنطينية فمات فيها. من كتبه (تعدل المرقاة وجلاء المرآة -خ) حاشية على مرآة الاصول لملاخسرو. </w:t>
      </w:r>
    </w:p>
    <w:p>
      <w:pPr>
        <w:jc w:val="start"/>
        <w:bidi/>
      </w:pPr>
      <w:r>
        <w:rPr>
          <w:sz w:val="24"/>
          <w:szCs w:val="24"/>
          <w:b w:val="1"/>
          <w:bCs w:val="1"/>
          <w:rtl/>
        </w:rPr>
        <w:t xml:space="preserve">
الأعلام،(دار العلم للملايين - بيروت،2002،ط 15،ج 6،ص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2026-07-27T10:04:55+03:00</dcterms:created>
  <dcterms:modified xsi:type="dcterms:W3CDTF">2026-07-27T10:04:55+03:00</dcterms:modified>
</cp:coreProperties>
</file>

<file path=docProps/custom.xml><?xml version="1.0" encoding="utf-8"?>
<Properties xmlns="http://schemas.openxmlformats.org/officeDocument/2006/custom-properties" xmlns:vt="http://schemas.openxmlformats.org/officeDocument/2006/docPropsVTypes"/>
</file>