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حمدين
</w:t>
      </w:r>
    </w:p>
    <w:p>
      <w:pPr>
        <w:jc w:val="start"/>
        <w:bidi/>
      </w:pPr>
      <w:r>
        <w:rPr>
          <w:rFonts w:ascii="arial" w:hAnsi="arial" w:eastAsia="arial" w:cs="arial"/>
          <w:sz w:val="28"/>
          <w:szCs w:val="28"/>
          <w:b w:val="1"/>
          <w:bCs w:val="1"/>
          <w:rtl/>
        </w:rPr>
        <w:t xml:space="preserve">ابن حمدين
</w:t>
      </w:r>
    </w:p>
    <w:p>
      <w:pPr/>
      <w:r>
        <w:rPr/>
        <w:t xml:space="preserve">ابن حمدين  أحمد بن محمد بن أحمد التغلي، المعروف بابن حمدين: قاض، من أمراء الأندلس أيام ملوك الطوائف. نزل جده ’’ الداخل ’’ في بلج وكثرت ذريته في باغة. وولي صاحب الترجمة القضاء بعد أخ له بقرطبة سنة 529 وعزل. ثم أعيد (536) وثار أهل البلد على الوالي’’ اللمتوني’’ وخلعوا طاعة ’’ الملثمين’’ واتفقوا على مبايعة القاضي ابن حمدين، بجامع قرطبة. فسكن قصر الخلافة وتسمى بأمير المسلمين وناصر الدين (539) وهاجمه أحد بني هود ولم يفلح، فاستمر 11 شهرا بدون الدواوين وبجند الأجناد. وتحرك إليه ابن غانية (يحيى بن علي) من اشبلية، فاقتتلا في جهات استجة (ecija) وانهزم ابن حمدين (540) فاحتل ابن غانية قرطبة. وساءت خاتمة ابن حمدين، فاستنجد بالافرنج، فأقبلوا وحاصروا ابن غانية ثم هادنوه على مال أداه إليهم، وبلاد تركها لهم. وعاد ابن حمدين خائبا. وتوفي بمالقة.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2026-07-27T17:44:04+03:00</dcterms:created>
  <dcterms:modified xsi:type="dcterms:W3CDTF">2026-07-27T17:44:04+03:00</dcterms:modified>
</cp:coreProperties>
</file>

<file path=docProps/custom.xml><?xml version="1.0" encoding="utf-8"?>
<Properties xmlns="http://schemas.openxmlformats.org/officeDocument/2006/custom-properties" xmlns:vt="http://schemas.openxmlformats.org/officeDocument/2006/docPropsVTypes"/>
</file>