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بيري
</w:t>
      </w:r>
    </w:p>
    <w:p>
      <w:pPr/>
      <w:r>
        <w:rPr/>
        <w:t xml:space="preserve">ابن بيري  إبراهيم بن حسين بن أحمد بن بيري: فقيه، ولي الافتاء بمكة. له حواش وشروح في الفقه والحديث ورسائل في التلفيق والعمرة وجمرة العقبة وغير ذلك. ولد في المدينة مات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بيري
</w:t>
      </w:r>
    </w:p>
    <w:p>
      <w:pPr/>
      <w:r>
        <w:rPr/>
        <w:t xml:space="preserve">ابن بيري </w:t>
      </w:r>
    </w:p>
    <w:p/>
    <w:p>
      <w:pPr/>
      <w:r>
        <w:rPr/>
        <w:t xml:space="preserve">إبراهيم بن حسين مفتي مكة. م سنة 1099 هـ.</w:t>
      </w:r>
    </w:p>
    <w:p/>
    <w:p>
      <w:pPr/>
      <w:r>
        <w:rPr/>
        <w:t xml:space="preserve">له: النقول المنيفة في حكم شرف ولد الشريفة.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2026-07-22T22:45:07+03:00</dcterms:created>
  <dcterms:modified xsi:type="dcterms:W3CDTF">2026-07-22T22:45:07+03:00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