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الروم
</w:t>
      </w:r>
    </w:p>
    <w:p>
      <w:pPr/>
      <w:r>
        <w:rPr/>
        <w:t xml:space="preserve">صاحب الروم السلطان غياث الدين كيخسرو بن قلج رسلان السلجوقي، قتله ملك الأشكري سنة سبع وست مائة، فتملك بعده ابنه كيكاوس.</w:t>
      </w:r>
    </w:p>
    <w:p/>
    <w:p>
      <w:pPr/>
      <w:r>
        <w:rPr/>
        <w:t xml:space="preserve">وكانت أيام كيخسرو تسع عشرة سنة.</w:t>
      </w:r>
    </w:p>
    <w:p/>
    <w:p>
      <w:pPr/>
      <w:r>
        <w:rPr/>
        <w:t xml:space="preserve">وبعد أربع سنين، أسرت التركمان ملك الأشكري، وأتوا به إلى كيخسرو، فأراد قتله، فبذل في نفسه أموالا وقلاعا لم يملكا المسلمون قط فقبل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2026-07-25T17:42:35+03:00</dcterms:created>
  <dcterms:modified xsi:type="dcterms:W3CDTF">2026-07-25T17:42:35+03:00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