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الصيدلاني
</w:t>
      </w:r>
    </w:p>
    <w:p>
      <w:pPr>
        <w:jc w:val="start"/>
        <w:bidi/>
      </w:pPr>
      <w:r>
        <w:rPr>
          <w:rFonts w:ascii="arial" w:hAnsi="arial" w:eastAsia="arial" w:cs="arial"/>
          <w:sz w:val="28"/>
          <w:szCs w:val="28"/>
          <w:b w:val="1"/>
          <w:bCs w:val="1"/>
          <w:rtl/>
        </w:rPr>
        <w:t xml:space="preserve">الصيدلاني
</w:t>
      </w:r>
    </w:p>
    <w:p>
      <w:pPr/>
      <w:r>
        <w:rPr/>
        <w:t xml:space="preserve">الصيدلاني الشيخ الصدوق المعمر مسند الوقت أبو جعفر محمد بن أحمد بن نصر بن أبي الفتح حسين بن محمد بن خالويه الأصبهاني، الصيدلاني، سبط حسين بن مندة.</w:t>
      </w:r>
    </w:p>
    <w:p/>
    <w:p>
      <w:pPr/>
      <w:r>
        <w:rPr/>
        <w:t xml:space="preserve">ولد ليلة النحر، سنة تسع وخمس مائة.</w:t>
      </w:r>
    </w:p>
    <w:p/>
    <w:p>
      <w:pPr/>
      <w:r>
        <w:rPr/>
        <w:t xml:space="preserve">وسمع حضورا في الثالثة شيئا كثيرا من أبي علي، وكان يمكنه السماع منه، فما اتفق. وحضر: محمود بن إسماعيل الأشقر، وعبد الكريم بن علي فورجة، وحمزة بن العباس، وعبد الجبار بن الفضل الأموي، وجعفر ابن عبد الواحد الثقفي، وأبا عدنان محمد بن أبي نزار.</w:t>
      </w:r>
    </w:p>
    <w:p/>
    <w:p>
      <w:pPr/>
      <w:r>
        <w:rPr/>
        <w:t xml:space="preserve">وسمع من: فاطمة بنت عبد الله ’’المعجم الكبير’’ للطبراني بكماله، وهو ابن إحدى عشرة سنة، وتفرد بالرواية عن المذكورين سوى فاطمة.</w:t>
      </w:r>
    </w:p>
    <w:p/>
    <w:p>
      <w:pPr/>
      <w:r>
        <w:rPr/>
        <w:t xml:space="preserve">وكان يعرف بسلفة.</w:t>
      </w:r>
    </w:p>
    <w:p/>
    <w:p>
      <w:pPr/>
      <w:r>
        <w:rPr/>
        <w:t xml:space="preserve">روى عنه الشيخ الضياء فأكثر، وبالغ، ومحمد بن عمر العثماني، وعبد الله ابن الحافظ، وبدل التبريزي، ومحمد بن أحمد الزنجاني، وابن خليل، وحسن بن يونس سبط داود بن معمر، وعبد الله بن يوسف ابن اللمط، وأبو الخطاب بن دحية، وخلق.</w:t>
      </w:r>
    </w:p>
    <w:p/>
    <w:p>
      <w:pPr/>
      <w:r>
        <w:rPr/>
        <w:t xml:space="preserve">وأجاز لابن الدرجي، وابن البخاري، وابن شيبان، وطائفة.</w:t>
      </w:r>
    </w:p>
    <w:p/>
    <w:p>
      <w:pPr/>
      <w:r>
        <w:rPr/>
        <w:t xml:space="preserve">توفي في سلخ رجب، سنة ثلاث وست مائة، فيما قرأت بخط الضياء.</w:t>
      </w:r>
    </w:p>
    <w:p>
      <w:pPr>
        <w:jc w:val="start"/>
        <w:bidi/>
      </w:pPr>
      <w:r>
        <w:rPr>
          <w:sz w:val="24"/>
          <w:szCs w:val="24"/>
          <w:b w:val="1"/>
          <w:bCs w:val="1"/>
          <w:rtl/>
        </w:rPr>
        <w:t xml:space="preserve">
سير أعلام النبلاء،(دار الحديث- القاهرة،2006،ط 0،ج 16،ص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أحمد بن نصر الصيدلاني 
</w:t>
      </w:r>
    </w:p>
    <w:p>
      <w:pPr/>
      <w:r>
        <w:rPr/>
        <w:t xml:space="preserve">أبو جعفر محمد بن احمد بن نصر الصيدلاني سلفة</w:t>
      </w:r>
    </w:p>
    <w:p>
      <w:pPr>
        <w:jc w:val="start"/>
        <w:bidi/>
      </w:pPr>
      <w:r>
        <w:rPr>
          <w:sz w:val="24"/>
          <w:szCs w:val="24"/>
          <w:b w:val="1"/>
          <w:bCs w:val="1"/>
          <w:rtl/>
        </w:rPr>
        <w:t xml:space="preserve">
المعين في طبقات المحدثين،(دار الفرقان، عمان - الأردن،1984،ط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2026-05-31T20:22:53+03:00</dcterms:created>
  <dcterms:modified xsi:type="dcterms:W3CDTF">2026-05-31T20:22:53+03:00</dcterms:modified>
</cp:coreProperties>
</file>

<file path=docProps/custom.xml><?xml version="1.0" encoding="utf-8"?>
<Properties xmlns="http://schemas.openxmlformats.org/officeDocument/2006/custom-properties" xmlns:vt="http://schemas.openxmlformats.org/officeDocument/2006/docPropsVTypes"/>
</file>