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علي
</w:t>
      </w:r>
    </w:p>
    <w:p>
      <w:pPr/>
      <w:r>
        <w:rPr/>
        <w:t xml:space="preserve">مسلم بن علي ابن محمد، الشيخ أبو منصور، ابن السيحي، الموصلي.</w:t>
      </w:r>
    </w:p>
    <w:p/>
    <w:p>
      <w:pPr/>
      <w:r>
        <w:rPr/>
        <w:t xml:space="preserve">آخر من حدث عن أبي البركات محمد بن محمد بن خميس.</w:t>
      </w:r>
    </w:p>
    <w:p/>
    <w:p>
      <w:pPr/>
      <w:r>
        <w:rPr/>
        <w:t xml:space="preserve">روى عنه: ابن خليل، والتقي اليلداني، وجماعة لقيهم الدمياطي.</w:t>
      </w:r>
    </w:p>
    <w:p/>
    <w:p>
      <w:pPr/>
      <w:r>
        <w:rPr/>
        <w:t xml:space="preserve">توفي في منتصف المحرم سنة خمس وتسعين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2026-07-27T13:14:55+03:00</dcterms:created>
  <dcterms:modified xsi:type="dcterms:W3CDTF">2026-07-27T13:14:55+03:00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