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غلام ثعلب
</w:t>
      </w:r>
    </w:p>
    <w:p>
      <w:pPr>
        <w:jc w:val="start"/>
        <w:bidi/>
      </w:pPr>
      <w:r>
        <w:rPr>
          <w:rFonts w:ascii="arial" w:hAnsi="arial" w:eastAsia="arial" w:cs="arial"/>
          <w:sz w:val="28"/>
          <w:szCs w:val="28"/>
          <w:b w:val="1"/>
          <w:bCs w:val="1"/>
          <w:rtl/>
        </w:rPr>
        <w:t xml:space="preserve">غلام ثعلب
</w:t>
      </w:r>
    </w:p>
    <w:p>
      <w:pPr/>
      <w:r>
        <w:rPr/>
        <w:t xml:space="preserve">غلام ثعلب  محمد بن عبد الواحد بن ابي هاشم، ابو عمر المطرز الباوردي، المعروف بغلام ثعلب: احد ائمة اللغة، المكثرين من التصنيف. كانت صناعته تطريز الثياب. نسبته إلى باورد (وهي ابيورد، بخراسان) صحب ثعلبا النحوي زمانا حتى لقب (غلام ثعب) وتوفي ببغداد. املي من حفظه في اللغة نحو ثلاثين الف ورقة. من كتبه (الييواقيت -خ) رسالة في غريب القرآن، و (فضائل معاوية) و (غرائب الحديث) صنفه على مسند احمد، و (جزء في الحديث والادب -ط) نشر في مجلة المجمع العلمي العربي، و (تفسير اسماء الشعراء) و (المداخل -ط) في اللغة، رسالة نشرت في مجلة المجمع، و (القبائل) و (يوم وليلة) و (اخبار العرب -خ) و (العشرات -خ) واستدرك على فصيح ثعلب والعين والجمهرة، فالحق بكل منها جزءا لطيفا. </w:t>
      </w:r>
    </w:p>
    <w:p>
      <w:pPr>
        <w:jc w:val="start"/>
        <w:bidi/>
      </w:pPr>
      <w:r>
        <w:rPr>
          <w:sz w:val="24"/>
          <w:szCs w:val="24"/>
          <w:b w:val="1"/>
          <w:bCs w:val="1"/>
          <w:rtl/>
        </w:rPr>
        <w:t xml:space="preserve">
الأعلام،(دار العلم للملايين - بيروت،2002،ط 15،ج 6،ص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2026-07-26T12:39:59+03:00</dcterms:created>
  <dcterms:modified xsi:type="dcterms:W3CDTF">2026-07-26T12:39:59+03:00</dcterms:modified>
</cp:coreProperties>
</file>

<file path=docProps/custom.xml><?xml version="1.0" encoding="utf-8"?>
<Properties xmlns="http://schemas.openxmlformats.org/officeDocument/2006/custom-properties" xmlns:vt="http://schemas.openxmlformats.org/officeDocument/2006/docPropsVTypes"/>
</file>