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الإخباري
</w:t>
      </w:r>
    </w:p>
    <w:p>
      <w:pPr>
        <w:jc w:val="start"/>
        <w:bidi/>
      </w:pPr>
      <w:r>
        <w:rPr>
          <w:rFonts w:ascii="arial" w:hAnsi="arial" w:eastAsia="arial" w:cs="arial"/>
          <w:sz w:val="28"/>
          <w:szCs w:val="28"/>
          <w:b w:val="1"/>
          <w:bCs w:val="1"/>
          <w:rtl/>
        </w:rPr>
        <w:t xml:space="preserve">الإخباري
</w:t>
      </w:r>
    </w:p>
    <w:p>
      <w:pPr/>
      <w:r>
        <w:rPr/>
        <w:t xml:space="preserve">الإخباري  محمد بن عبد النبي بن عبد الصانع، أبو أحمد النيسابوري، الاكبر أبادي، الهندي، الميرزا المعروف بالاخباري : فقيه إمامي قتل في الكاظمين. له كتب، منها (مجالي الانوار - خ) وشرحه (مجالي المجالي - خ) سماه أيضا (معترك العقول) قال أغا بزرك : رأيت النسخة متنا وشرحا في المشهد عند الشيخ علي أكبر النهاوندي مع عدة رسائل أخر لصاحب الترجمة. </w:t>
      </w:r>
    </w:p>
    <w:p>
      <w:pPr>
        <w:jc w:val="start"/>
        <w:bidi/>
      </w:pPr>
      <w:r>
        <w:rPr>
          <w:sz w:val="24"/>
          <w:szCs w:val="24"/>
          <w:b w:val="1"/>
          <w:bCs w:val="1"/>
          <w:rtl/>
        </w:rPr>
        <w:t xml:space="preserve">
الأعلام،(دار العلم للملايين - بيروت،2002،ط 15،ج 6،ص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أحمد محمد بن عبد النبي
</w:t>
      </w:r>
    </w:p>
    <w:p>
      <w:pPr/>
      <w:r>
        <w:rPr/>
        <w:t xml:space="preserve">الشيخ أبو أحمد محمد بن عبد النبي ابن عبد الصانع النيسابوري الخراساني </w:t>
      </w:r>
    </w:p>
    <w:p/>
    <w:p>
      <w:pPr/>
      <w:r>
        <w:rPr/>
        <w:t xml:space="preserve">له مصادر الأنوار في تحقيق للاجتهاد والأخبار رأينا منه نسخة في قم فرغ منه سنة 1209 يدل على تعصبه في مذهب الإخبارية وله صحيفة أهل الصفا في ذكر أهل الإجتبا ذكر فيه أحوال مشايخ الإجازة والرواة مع الإشارة إلى بعض الفوائد رأينا منه نسخة مخطوطة في قم أيضا. </w:t>
      </w:r>
    </w:p>
    <w:p/>
    <w:p>
      <w:pPr/>
      <w:r>
        <w:rPr/>
        <w:t xml:space="preserve">وله كتاب مخطوط رأينا منه نسخة في طهران في مكتبة شريعتمدار الرشتي قال: أما بعد فهذه تعليقات لكتاب الفاضل المعاصر أبي القاسم بن الحسن الذي شرح به في مقام النقض وجيزتي المعروفة بقبسة العجول الملقبة بمنية الفحول وسماه بعين العين رد للمعنين فبينت عثرات أقلامه ووسمتها بغبن العين ولقبتها بعواصف الحين ولعل المجموع حري بأن يسمى بإنسان العين لمعرفة الزين والشين وعنونت المتن بقلت والشرح بقال والجواب بأقوال ’’اه’’. </w:t>
      </w:r>
    </w:p>
    <w:p>
      <w:pPr>
        <w:jc w:val="start"/>
        <w:bidi/>
      </w:pPr>
      <w:r>
        <w:rPr>
          <w:sz w:val="24"/>
          <w:szCs w:val="24"/>
          <w:b w:val="1"/>
          <w:bCs w:val="1"/>
          <w:rtl/>
        </w:rPr>
        <w:t xml:space="preserve">
أعيان الشيعة،(دار التعارف للمطبوعات - بيروت،1983،ط 1،ج 9،ص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2026-07-26T16:20:13+03:00</dcterms:created>
  <dcterms:modified xsi:type="dcterms:W3CDTF">2026-07-26T16:20:13+03:00</dcterms:modified>
</cp:coreProperties>
</file>

<file path=docProps/custom.xml><?xml version="1.0" encoding="utf-8"?>
<Properties xmlns="http://schemas.openxmlformats.org/officeDocument/2006/custom-properties" xmlns:vt="http://schemas.openxmlformats.org/officeDocument/2006/docPropsVTypes"/>
</file>