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الفتى
</w:t>
      </w:r>
    </w:p>
    <w:p>
      <w:pPr>
        <w:jc w:val="start"/>
        <w:bidi/>
      </w:pPr>
      <w:r>
        <w:rPr>
          <w:rFonts w:ascii="arial" w:hAnsi="arial" w:eastAsia="arial" w:cs="arial"/>
          <w:sz w:val="28"/>
          <w:szCs w:val="28"/>
          <w:b w:val="1"/>
          <w:bCs w:val="1"/>
          <w:rtl/>
        </w:rPr>
        <w:t xml:space="preserve">ابن الفتى
</w:t>
      </w:r>
    </w:p>
    <w:p>
      <w:pPr/>
      <w:r>
        <w:rPr/>
        <w:t xml:space="preserve">ابن الفتى العلامة، مدرس النظامية، أبو علي الحسن بن سلمان بن عبد الله أبي طالب بن محمد النهرواني، ثم الأصبهاني.</w:t>
      </w:r>
    </w:p>
    <w:p/>
    <w:p>
      <w:pPr/>
      <w:r>
        <w:rPr/>
        <w:t xml:space="preserve">سمع من: الرئيس أبي عبد الله الثقفي.</w:t>
      </w:r>
    </w:p>
    <w:p/>
    <w:p>
      <w:pPr/>
      <w:r>
        <w:rPr/>
        <w:t xml:space="preserve">روى عنه: أبو المعمر الأنصاري وغيره، وكان واعظا باهرا متضلعا من الفقه والكلام، وافر الجلالة.</w:t>
      </w:r>
    </w:p>
    <w:p/>
    <w:p>
      <w:pPr/>
      <w:r>
        <w:rPr/>
        <w:t xml:space="preserve">قال أبو المعمر: لم تر عيناي مثله.</w:t>
      </w:r>
    </w:p>
    <w:p/>
    <w:p>
      <w:pPr/>
      <w:r>
        <w:rPr/>
        <w:t xml:space="preserve">وقال ابن عساكر في ’’طبقات الأشعرية’’: كان ممن يملأ العين جمالا، والأذن بيانا، ويربي على أقرانه في النظر، لأنه كان أفصحهم لسانا، تفقه بأبي بكر محمد بن ثابت الخجندي مدرس نظامية أصبهان. قيل: إنه سئل: ما علامة قبول صوم رمضان؟ قال: أن يموت في شوال قبل التلبس برديء الأعمال، فمات في سادس شوال سنة خمس وعشرين وخمس العلاء وأظهر عليه أهل بغداد من الجزع ما لم يعهد مثله.</w:t>
      </w:r>
    </w:p>
    <w:p/>
    <w:p>
      <w:pPr/>
      <w:r>
        <w:rPr/>
        <w:t xml:space="preserve">قلت: وروى عنه ابن عساكر.</w:t>
      </w:r>
    </w:p>
    <w:p/>
    <w:p>
      <w:pPr/>
      <w:r>
        <w:rPr/>
        <w:t xml:space="preserve">وقال ابن الجوزي: وعظ بجامع القصر، وكان يقول: أنا في الوعظ مبتدئ، أنشأ خطبا كان يوردها، وينظم فيها مذهب الأشعري فنفقت، ومال على المحدثين والحنابلة، فاستلب عاجلا.</w:t>
      </w:r>
    </w:p>
    <w:p/>
    <w:p>
      <w:pPr/>
      <w:r>
        <w:rPr/>
        <w:t xml:space="preserve">قلت: توفي كهلا، وكان أبوه أبو عبد الله رأسا في اللغة والنحو، له كتاب القانون عشر مجلدات في اللغة، وفسر القرآن، وألف في علل القراءات، أخذ عن ابن برهان، وحدث عن ابن غيلان، وتخرج به أدباء أصبهان، وروى عنه السلفي، مات سنة ثلاث وتسعين وأربع مائة، تأدب به أولاد نظام الملك. وقد شاخ.</w:t>
      </w:r>
    </w:p>
    <w:p>
      <w:pPr>
        <w:jc w:val="start"/>
        <w:bidi/>
      </w:pPr>
      <w:r>
        <w:rPr>
          <w:sz w:val="24"/>
          <w:szCs w:val="24"/>
          <w:b w:val="1"/>
          <w:bCs w:val="1"/>
          <w:rtl/>
        </w:rPr>
        <w:t xml:space="preserve">
سير أعلام النبلاء،(دار الحديث- القاهرة،2006،ط 0،ج 14،ص 415)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سلمان بن عبد الله بن الفتى النهرواني أبو علي الأصبهاني
</w:t>
      </w:r>
    </w:p>
    <w:p>
      <w:pPr/>
      <w:r>
        <w:rPr/>
        <w:t xml:space="preserve">الحسن بن سلمان بن عبد الله بن الفتى النهرواني أبو علي الأصبهاني قال الحافظ في التبيين إنه تفقه على أبي بكر محمد بن ثابت الخجندي مدرس النظامية بأصبهان وعلى غيره وولى قضاء خوزستان ثم تدريس النظامية ببغداد</w:t>
      </w:r>
    </w:p>
    <w:p/>
    <w:p>
      <w:pPr/>
      <w:r>
        <w:rPr/>
        <w:t xml:space="preserve">قال كان ممن يملأ العين جمالا والأذن بيانا ويربي على أقرانه في النظر لأنه كان أفصحهم لسانا</w:t>
      </w:r>
    </w:p>
    <w:p/>
    <w:p>
      <w:pPr/>
      <w:r>
        <w:rPr/>
        <w:t xml:space="preserve">سئل في بعض مجالسه التي كان يجلس فيها للتذكير عن علامة قبول الصوم فقال أن يموت في شوال قبل التلبس بسيئ الأعمال فمات في شوال بعد تأدية فرض رمضان يوم الاثنين الخامس من شوال سنة خمس وعشرين وخمسمائة ودفن بتربة الشيخ أبي إسحاق</w:t>
      </w:r>
    </w:p>
    <w:p/>
    <w:p>
      <w:pPr/>
      <w:r>
        <w:rPr/>
        <w:t xml:space="preserve">وقال ابن النجار سمع الحديث من أبيه ومن القاسم بن الفضل الثقفي وغيرهما روى عنه أبو المعمر المبارك بن أحمد الأنصاري وقال لم ترعيناي مثله وأبو بكر المبارك</w:t>
      </w:r>
    </w:p>
    <w:p/>
    <w:p>
      <w:pPr/>
      <w:r>
        <w:rPr/>
        <w:t xml:space="preserve">ابن كامل الخفاف والحافظ وغيرهم</w:t>
      </w:r>
    </w:p>
    <w:p>
      <w:pPr>
        <w:jc w:val="start"/>
        <w:bidi/>
      </w:pPr>
      <w:r>
        <w:rPr>
          <w:sz w:val="24"/>
          <w:szCs w:val="24"/>
          <w:b w:val="1"/>
          <w:bCs w:val="1"/>
          <w:rtl/>
        </w:rPr>
        <w:t xml:space="preserve">
طبقات الشافعية الكبرى،(دار هجر - القاهرة،1992،ط 2،ج 7،ص 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سليمان بن عبد اللَّه بن النهرواني أبو علي الأصبهاني
</w:t>
      </w:r>
    </w:p>
    <w:p>
      <w:pPr/>
      <w:r>
        <w:rPr/>
        <w:t xml:space="preserve">الحسن بن سليمان بن عبد اللَّه بن النهرواني أبو علي الأصبهاني </w:t>
      </w:r>
    </w:p>
    <w:p/>
    <w:p>
      <w:pPr/>
      <w:r>
        <w:rPr/>
        <w:t xml:space="preserve">تفقه على أبي بكر الخُجَندى وعلى غيره، وولى فضاء خورستان ونظامية بغداد، وكان جميلاً فصيحاً مناظراً. سئل في بعض مجالسه التي كان يجلس فيها للتذكير عن علامة قبول الصوم قال: أن يموت في شوال قبل الثلاثين، فمات في خامس شوال بعد تأدية رمضان، سنة خمس وعشرين وخمسمائة. ودفن بتربة الشيخ أبي إسحاق قاله الحافظ في البشر. قال ابن النجار: وسمع أبيه وغيره، وعنه جماعة.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2026-07-27T18:54:06+03:00</dcterms:created>
  <dcterms:modified xsi:type="dcterms:W3CDTF">2026-07-27T18:54:06+03:00</dcterms:modified>
</cp:coreProperties>
</file>

<file path=docProps/custom.xml><?xml version="1.0" encoding="utf-8"?>
<Properties xmlns="http://schemas.openxmlformats.org/officeDocument/2006/custom-properties" xmlns:vt="http://schemas.openxmlformats.org/officeDocument/2006/docPropsVTypes"/>
</file>