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غالب بن البناء
</w:t>
      </w:r>
    </w:p>
    <w:p>
      <w:pPr>
        <w:jc w:val="start"/>
        <w:bidi/>
      </w:pPr>
      <w:r>
        <w:rPr>
          <w:rFonts w:ascii="arial" w:hAnsi="arial" w:eastAsia="arial" w:cs="arial"/>
          <w:sz w:val="28"/>
          <w:szCs w:val="28"/>
          <w:b w:val="1"/>
          <w:bCs w:val="1"/>
          <w:rtl/>
        </w:rPr>
        <w:t xml:space="preserve">أبو غالب بن البناء
</w:t>
      </w:r>
    </w:p>
    <w:p>
      <w:pPr/>
      <w:r>
        <w:rPr/>
        <w:t xml:space="preserve">أبو غالب بن البناء الشيخ الصالح الثقة، مسند بغداد، أبو غالب أحمد بن الإمام أبي علي الحسين بن أحمد بن عبد الله بن البناء البغدادي الحنبلي.</w:t>
      </w:r>
    </w:p>
    <w:p/>
    <w:p>
      <w:pPr/>
      <w:r>
        <w:rPr/>
        <w:t xml:space="preserve">سمع أبا محمد الجوهري، وتفرد عنه بأجزاء عالية، وأبا الحسين بن حسون النرسي،</w:t>
      </w:r>
    </w:p>
    <w:p/>
    <w:p>
      <w:pPr/>
      <w:r>
        <w:rPr/>
        <w:t xml:space="preserve">والقاضي أبا يعلى بن الفراء، وأبا الغنائم بن المأمون، وأبا الحسين بن الغريق، ووالده أبا علي، وعدة، وله ’’مشيخة’’ بانتقاء الحافظ ابن عساكر.</w:t>
      </w:r>
    </w:p>
    <w:p/>
    <w:p>
      <w:pPr/>
      <w:r>
        <w:rPr/>
        <w:t xml:space="preserve">ولد في سنة خمس وأربعين وخمس مائة، وله إجازة من الفقيه أبي إسحاق البرمكي، والقاضي أبي الطيب الطبري.</w:t>
      </w:r>
    </w:p>
    <w:p/>
    <w:p>
      <w:pPr/>
      <w:r>
        <w:rPr/>
        <w:t xml:space="preserve">حدث عنه: السلفي، وابن عساكر، وأبو موسى المديني، وهبة الله بن مسعود الباذبيني، وأبو الفرج محمد بن هبة الله الوكيل، وإسماعيل بن علي القطان، وعمر بن طبرزد، وخلق، وكان من بقايا الثقات.</w:t>
      </w:r>
    </w:p>
    <w:p/>
    <w:p>
      <w:pPr/>
      <w:r>
        <w:rPr/>
        <w:t xml:space="preserve">مات في صفر، وقيل: مات في ربيع الأول سنة سبع وعشرين وخمس مائة.</w:t>
      </w:r>
    </w:p>
    <w:p/>
    <w:p>
      <w:pPr/>
      <w:r>
        <w:rPr/>
        <w:t xml:space="preserve">وفيها مات: أسعد بن أبي نصر الميهني الشافعي صاحب التعليقة، والحافظ أبو نصر الحسن بن محمد بن إبراهيم اليونارتي الأصبهاني، وأبو الحسن علي بن الزاغوني الفقيه، وأبو بكر محمد بن الحسن المزرفي، وأبو خازم محمد بن أبي يعلى محمد بن الحسين بن الفراء الفقيه.</w:t>
      </w:r>
    </w:p>
    <w:p>
      <w:pPr>
        <w:jc w:val="start"/>
        <w:bidi/>
      </w:pPr>
      <w:r>
        <w:rPr>
          <w:sz w:val="24"/>
          <w:szCs w:val="24"/>
          <w:b w:val="1"/>
          <w:bCs w:val="1"/>
          <w:rtl/>
        </w:rPr>
        <w:t xml:space="preserve">
سير أعلام النبلاء،(دار الحديث- القاهرة،2006،ط 0،ج 14،ص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2026-06-23T03:56:08+03:00</dcterms:created>
  <dcterms:modified xsi:type="dcterms:W3CDTF">2026-06-23T03:56:08+03:00</dcterms:modified>
</cp:coreProperties>
</file>

<file path=docProps/custom.xml><?xml version="1.0" encoding="utf-8"?>
<Properties xmlns="http://schemas.openxmlformats.org/officeDocument/2006/custom-properties" xmlns:vt="http://schemas.openxmlformats.org/officeDocument/2006/docPropsVTypes"/>
</file>