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يعلى بن الهبارية
</w:t>
      </w:r>
    </w:p>
    <w:p>
      <w:pPr>
        <w:jc w:val="start"/>
        <w:bidi/>
      </w:pPr>
      <w:r>
        <w:rPr>
          <w:rFonts w:ascii="arial" w:hAnsi="arial" w:eastAsia="arial" w:cs="arial"/>
          <w:sz w:val="28"/>
          <w:szCs w:val="28"/>
          <w:b w:val="1"/>
          <w:bCs w:val="1"/>
          <w:rtl/>
        </w:rPr>
        <w:t xml:space="preserve">أبو يعلى بن الهبارية
</w:t>
      </w:r>
    </w:p>
    <w:p>
      <w:pPr/>
      <w:r>
        <w:rPr/>
        <w:t xml:space="preserve">أبو يعلى بن الهبارية الشريف، كبير الشعراء، محمد بن صالح بن حمزة العباسي، من ذرية ولي العهد عيسى بن موسى، ولقبه نظام الدين البغدادي، رأس في الهجو والخلاعة، وشعره فائق، خدم نظام الملك، وسعد به، وقد نظم كتاب ’’كليلة ودمنة’’ جوده وحرره.</w:t>
      </w:r>
    </w:p>
    <w:p/>
    <w:p>
      <w:pPr/>
      <w:r>
        <w:rPr/>
        <w:t xml:space="preserve">قيل: مات بكرمان، سنة أربع وخمس مائة.</w:t>
      </w:r>
    </w:p>
    <w:p>
      <w:pPr>
        <w:jc w:val="start"/>
        <w:bidi/>
      </w:pPr>
      <w:r>
        <w:rPr>
          <w:sz w:val="24"/>
          <w:szCs w:val="24"/>
          <w:b w:val="1"/>
          <w:bCs w:val="1"/>
          <w:rtl/>
        </w:rPr>
        <w:t xml:space="preserve">
سير أعلام النبلاء،(دار الحديث- القاهرة،2006،ط 0،ج 14،ص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2026-07-27T17:45:03+03:00</dcterms:created>
  <dcterms:modified xsi:type="dcterms:W3CDTF">2026-07-27T17:45:03+03:00</dcterms:modified>
</cp:coreProperties>
</file>

<file path=docProps/custom.xml><?xml version="1.0" encoding="utf-8"?>
<Properties xmlns="http://schemas.openxmlformats.org/officeDocument/2006/custom-properties" xmlns:vt="http://schemas.openxmlformats.org/officeDocument/2006/docPropsVTypes"/>
</file>