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وجه الجنة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وجه الجنة
</w:t>
      </w:r>
    </w:p>
    <w:p>
      <w:pPr/>
      <w:r>
        <w:rPr/>
        <w:t xml:space="preserve">ابن وجه الجنة الشيخ الثقة المعمر، أبو بكر، يحيى بن عبد الرحمن بن مسعود بن موسى، القرطبي، عرف بابن وجه الجنة.</w:t>
      </w:r>
    </w:p>
    <w:p/>
    <w:p>
      <w:pPr/>
      <w:r>
        <w:rPr/>
        <w:t xml:space="preserve">سمع من: قاسم بن أصبغ، ومحمد بن أبي دليم، ومحمد بن معاوية، وابن حزم الصدفي، وأحمد بن مطرف.</w:t>
      </w:r>
    </w:p>
    <w:p/>
    <w:p>
      <w:pPr/>
      <w:r>
        <w:rPr/>
        <w:t xml:space="preserve">وكان خيرا دينا، من عدول القاضي أبي بكر بن السليم، وكان يلتزم صنعة الخز.</w:t>
      </w:r>
    </w:p>
    <w:p/>
    <w:p>
      <w:pPr/>
      <w:r>
        <w:rPr/>
        <w:t xml:space="preserve">حدث عنه: أبو عمر بن عبد البر، وأبو محمد بن حزم، وطائفة.</w:t>
      </w:r>
    </w:p>
    <w:p/>
    <w:p>
      <w:pPr/>
      <w:r>
        <w:rPr/>
        <w:t xml:space="preserve">مولده في سنة أربع وثلاث مائة.</w:t>
      </w:r>
    </w:p>
    <w:p/>
    <w:p>
      <w:pPr/>
      <w:r>
        <w:rPr/>
        <w:t xml:space="preserve">ومات في ذي الحجة سنة اثنتين وأربع مائة.</w:t>
      </w:r>
    </w:p>
    <w:p/>
    <w:p>
      <w:pPr/>
      <w:r>
        <w:rPr/>
        <w:t xml:space="preserve">وهو أكبر شيخ لقيه ابن حزم.</w:t>
      </w:r>
    </w:p>
    <w:p/>
    <w:p>
      <w:pPr/>
      <w:r>
        <w:rPr/>
        <w:t xml:space="preserve">ابن الرسان، لحية الزبل: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2026-07-27T09:33:54+03:00</dcterms:created>
  <dcterms:modified xsi:type="dcterms:W3CDTF">2026-07-27T09:33:54+03:00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