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start"/>
        <w:bidi/>
      </w:pPr>
      <w:r>
        <w:rPr>
          <w:rFonts w:ascii="arial" w:hAnsi="arial" w:eastAsia="arial" w:cs="arial"/>
          <w:sz w:val="32"/>
          <w:szCs w:val="32"/>
          <w:b w:val="1"/>
          <w:bCs w:val="1"/>
          <w:rtl/>
        </w:rPr>
        <w:t xml:space="preserve">الفناكي
</w:t>
      </w:r>
    </w:p>
    <w:p>
      <w:pPr>
        <w:jc w:val="start"/>
        <w:bidi/>
      </w:pPr>
      <w:r>
        <w:rPr>
          <w:rFonts w:ascii="arial" w:hAnsi="arial" w:eastAsia="arial" w:cs="arial"/>
          <w:sz w:val="28"/>
          <w:szCs w:val="28"/>
          <w:b w:val="1"/>
          <w:bCs w:val="1"/>
          <w:rtl/>
        </w:rPr>
        <w:t xml:space="preserve">الفناكي
</w:t>
      </w:r>
    </w:p>
    <w:p>
      <w:pPr/>
      <w:r>
        <w:rPr/>
        <w:t xml:space="preserve">الفناكي الشيخ أبو القاسم، جعفر بن عبد الله بن يعقوب بن الفناكي الرازي، راوي ’’مسند الحافظ محمد بن هارون الروياني’’ عنه، وقد سمع أيضا من عبد الرحمن بن أبي حاتم.</w:t>
      </w:r>
    </w:p>
    <w:p/>
    <w:p>
      <w:pPr/>
      <w:r>
        <w:rPr/>
        <w:t xml:space="preserve">قال الخليلي: هو موصوف بالعدالة وحسن الديانة.</w:t>
      </w:r>
    </w:p>
    <w:p/>
    <w:p>
      <w:pPr/>
      <w:r>
        <w:rPr/>
        <w:t xml:space="preserve">روى عنه: هبة الله اللالكائي، وأبو الفضل عبد الرحمن بن بندار الرازي.</w:t>
      </w:r>
    </w:p>
    <w:p/>
    <w:p>
      <w:pPr/>
      <w:r>
        <w:rPr/>
        <w:t xml:space="preserve">توفي سنة ثلاث وثمانين وثلاث مائة.</w:t>
      </w:r>
    </w:p>
    <w:p/>
    <w:p>
      <w:pPr/>
      <w:r>
        <w:rPr/>
        <w:t xml:space="preserve">وفيها مات أبو بكر بن شاذان، وعلي بن حسان الجدلي صاحب مطين، والمحدث أبو الفضل نصر بن أبي نصر الطوسي العطار، وأبو سعيد الجوري.</w:t>
      </w:r>
    </w:p>
    <w:p>
      <w:pPr>
        <w:jc w:val="start"/>
        <w:bidi/>
      </w:pPr>
      <w:r>
        <w:rPr>
          <w:sz w:val="24"/>
          <w:szCs w:val="24"/>
          <w:b w:val="1"/>
          <w:bCs w:val="1"/>
          <w:rtl/>
        </w:rPr>
        <w:t xml:space="preserve">
سير أعلام النبلاء،(دار الحديث- القاهرة،2006،ط 0،ج 12،ص 402)</w:t>
      </w:r>
    </w:p>
    <w:p>
      <w:pPr>
        <w:jc w:val="center"/>
      </w:pPr>
      <w:r>
        <w:rPr>
          <w:sz w:val="24"/>
          <w:szCs w:val="24"/>
          <w:b w:val="1"/>
          <w:bCs w:val="1"/>
          <w:rtl/>
        </w:rPr>
        <w:t xml:space="preserve">=====================</w:t>
      </w:r>
    </w:p>
    <w:sectPr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arial" w:hAnsi="arial" w:eastAsia="arial" w:cs="arial"/>
        <w:sz w:val="24"/>
        <w:szCs w:val="24"/>
        <w:lang w:val="en-US"/>
      </w:rPr>
    </w:rPrDefault>
  </w:docDefaults>
  <w:style w:type="paragraph" w:default="1" w:styleId="Normal">
    <w:name w:val="Normal"/>
    <w:pPr>
      <w:jc w:val="both"/>
      <w:bidi/>
      <w:spacing w:after="200" w:line="340" w:lineRule="auto"/>
    </w:pPr>
  </w:style>
  <w:style w:type="character" w:styleId="FootnoteReference">
    <w:name w:val="Footnote Reference"/>
    <w:semiHidden/>
    <w:unhideWhenUsed/>
    <w:rPr>
      <w:vertAlign w:val="superscript"/>
    </w:rPr>
  </w:style>
  <w:style w:type="paragraph" w:styleId="Heading1">
    <w:link w:val="Heading1Char"/>
    <w:name w:val="heading 1"/>
    <w:rPr>
      <w:rFonts w:ascii="arial" w:hAnsi="arial" w:eastAsia="arial" w:cs="arial"/>
      <w:sz w:val="28"/>
      <w:szCs w:val="28"/>
      <w:b w:val="1"/>
      <w:bCs w:val="1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/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/>
  <dc:title/>
  <dc:description/>
  <dc:subject/>
  <cp:keywords/>
  <cp:category/>
  <cp:lastModifiedBy/>
  <dcterms:created xsi:type="dcterms:W3CDTF">2026-07-26T16:08:39+03:00</dcterms:created>
  <dcterms:modified xsi:type="dcterms:W3CDTF">2026-07-26T16:08:39+03:00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