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
</w:t>
      </w:r>
    </w:p>
    <w:p>
      <w:pPr/>
      <w:r>
        <w:rPr/>
        <w:t xml:space="preserve">محمد بن جعفر ابن أعين: المحدث الصادق أبو بكر البغدادي.</w:t>
      </w:r>
    </w:p>
    <w:p/>
    <w:p>
      <w:pPr/>
      <w:r>
        <w:rPr/>
        <w:t xml:space="preserve">حدث بمصر عن: عفان بن مسلم، وعاصم بن علي، وأبي بكر بن أبي شيبة.</w:t>
      </w:r>
    </w:p>
    <w:p/>
    <w:p>
      <w:pPr/>
      <w:r>
        <w:rPr/>
        <w:t xml:space="preserve">حدث عنه: الطبراني ومحمد بن عبد الله بن حيويه، وجماعة.</w:t>
      </w:r>
    </w:p>
    <w:p/>
    <w:p>
      <w:pPr/>
      <w:r>
        <w:rPr/>
        <w:t xml:space="preserve">وثقه الخطيب.</w:t>
      </w:r>
    </w:p>
    <w:p/>
    <w:p>
      <w:pPr/>
      <w:r>
        <w:rPr/>
        <w:t xml:space="preserve">توفي سنة ثلاث وتسعين ومائتين.</w:t>
      </w:r>
    </w:p>
    <w:p/>
    <w:p>
      <w:pPr/>
      <w:r>
        <w:rPr/>
        <w:t xml:space="preserve">القتات، وأبو عبد الله، وابن الإمام: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محمد بن أعين، أبو بكر البغدادي، نزيل مصر.
</w:t>
      </w:r>
    </w:p>
    <w:p>
      <w:pPr/>
      <w:r>
        <w:rPr/>
        <w:t xml:space="preserve">محمد بن جعفر بن محمد بن أعين، أبو بكر البغدادي، نزيل مصر. </w:t>
      </w:r>
    </w:p>
    <w:p/>
    <w:p>
      <w:pPr/>
      <w:r>
        <w:rPr/>
        <w:t xml:space="preserve">قال ابن يونس: حدث بمصر، وكان ثقة. توفي في جمادى الأولى سنة</w:t>
      </w:r>
    </w:p>
    <w:p/>
    <w:p>
      <w:pPr/>
      <w:r>
        <w:rPr/>
        <w:t xml:space="preserve">ثلاث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2026-07-27T13:16:19+03:00</dcterms:created>
  <dcterms:modified xsi:type="dcterms:W3CDTF">2026-07-27T13:16:19+03:00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