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البرزنجي
</w:t>
      </w:r>
    </w:p>
    <w:p>
      <w:pPr>
        <w:jc w:val="start"/>
        <w:bidi/>
      </w:pPr>
      <w:r>
        <w:rPr>
          <w:rFonts w:ascii="arial" w:hAnsi="arial" w:eastAsia="arial" w:cs="arial"/>
          <w:sz w:val="28"/>
          <w:szCs w:val="28"/>
          <w:b w:val="1"/>
          <w:bCs w:val="1"/>
          <w:rtl/>
        </w:rPr>
        <w:t xml:space="preserve">البرزنجي
</w:t>
      </w:r>
    </w:p>
    <w:p>
      <w:pPr/>
      <w:r>
        <w:rPr/>
        <w:t xml:space="preserve">البرزنجي  محمد بن عبد الرسول بن عبد السيد الحسني البرونجي: فاضل، له علم بالتفسير والادب. من فقهاء الشافعية. برزنجي الاصل. ولد وتعلم بشهرزور، ورحل إلى همذان وبغداد ودمشق والقسطنطينية ومصر، واستقر في المدينة، فتصدر للتدريس، وتوفي بها. له كتب، منها (الاشاعة في اشراط الساعة - ط) وكتاب في (حل مشكلات ابن العربي -خ) ترجمه عن الفارسية، و (انهار السلسبيل) في شرح تفسير البيضاوي، و (النواقض للروافض) و (شرح الفية المصطلح) و (خالص التلخيص) مختصر تلخيص المفتاح. وهو غير (البرونجي) صاحب المولد. </w:t>
      </w:r>
    </w:p>
    <w:p>
      <w:pPr>
        <w:jc w:val="start"/>
        <w:bidi/>
      </w:pPr>
      <w:r>
        <w:rPr>
          <w:sz w:val="24"/>
          <w:szCs w:val="24"/>
          <w:b w:val="1"/>
          <w:bCs w:val="1"/>
          <w:rtl/>
        </w:rPr>
        <w:t xml:space="preserve">
الأعلام،(دار العلم للملايين - بيروت،2002،ط 15،ج 6،ص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2026-07-25T22:30:18+03:00</dcterms:created>
  <dcterms:modified xsi:type="dcterms:W3CDTF">2026-07-25T22:30:18+03:00</dcterms:modified>
</cp:coreProperties>
</file>

<file path=docProps/custom.xml><?xml version="1.0" encoding="utf-8"?>
<Properties xmlns="http://schemas.openxmlformats.org/officeDocument/2006/custom-properties" xmlns:vt="http://schemas.openxmlformats.org/officeDocument/2006/docPropsVTypes"/>
</file>