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البكري
</w:t>
      </w:r>
    </w:p>
    <w:p>
      <w:pPr>
        <w:jc w:val="start"/>
        <w:bidi/>
      </w:pPr>
      <w:r>
        <w:rPr>
          <w:rFonts w:ascii="arial" w:hAnsi="arial" w:eastAsia="arial" w:cs="arial"/>
          <w:sz w:val="28"/>
          <w:szCs w:val="28"/>
          <w:b w:val="1"/>
          <w:bCs w:val="1"/>
          <w:rtl/>
        </w:rPr>
        <w:t xml:space="preserve">الجلال البكري
</w:t>
      </w:r>
    </w:p>
    <w:p>
      <w:pPr/>
      <w:r>
        <w:rPr/>
        <w:t xml:space="preserve">الجلال البكري  محمد بن عبد الرحمن بن أحمد بن محمد البكري الصديقي، ابو البقاء، جلال الدين: فقيه مصري، ولد ونشأ بدهروط (في الصهيد الاردني) وانتقل إلى القاهرة، فبرع في الاصول والحديث. وتفرد بفروع الشافعية، فلم يقارنه فيها احد. وازر دمشق وبيت المقدس، وحج. وولي قضاء الاسكندرية (سنى 863) وحمدت سيرته، ولكنه عزل، فعاد إلى القاهرة واشتغل بالاقراء والافتاء إلى ان توفي بها. له كتب، منها (شرح المنهاج) في قروع الشافعية، و (شرح الروض للمقري) في الفروع ايضا، و (شرح تنفيح اللباب) وهو اختصار العراقي لكتاب لباب الفقه. وافرد نكتا على كل من (الروضة) و (المنهاج) وشرع في (شرح البخاري) وكان يوصف بعدم التدبر في كثير من افعاله واقواله مما يلجئه إلى مزيد الصفاء وكونه لونا واحدا، كما يقول السخاوي. </w:t>
      </w:r>
    </w:p>
    <w:p>
      <w:pPr>
        <w:jc w:val="start"/>
        <w:bidi/>
      </w:pPr>
      <w:r>
        <w:rPr>
          <w:sz w:val="24"/>
          <w:szCs w:val="24"/>
          <w:b w:val="1"/>
          <w:bCs w:val="1"/>
          <w:rtl/>
        </w:rPr>
        <w:t xml:space="preserve">
الأعلام،(دار العلم للملايين - بيروت،2002،ط 15،ج 6،ص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2026-07-23T18:47:00+03:00</dcterms:created>
  <dcterms:modified xsi:type="dcterms:W3CDTF">2026-07-23T18:47:00+03:00</dcterms:modified>
</cp:coreProperties>
</file>

<file path=docProps/custom.xml><?xml version="1.0" encoding="utf-8"?>
<Properties xmlns="http://schemas.openxmlformats.org/officeDocument/2006/custom-properties" xmlns:vt="http://schemas.openxmlformats.org/officeDocument/2006/docPropsVTypes"/>
</file>