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ضرار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ضرار بن عمرو
</w:t>
      </w:r>
    </w:p>
    <w:p>
      <w:pPr/>
      <w:r>
        <w:rPr/>
        <w:t xml:space="preserve">ضرار بن عمرو نعم ومن رؤوس المعتزلة ضرار بن عمرو شيخ الضرارية.</w:t>
      </w:r>
    </w:p>
    <w:p/>
    <w:p>
      <w:pPr/>
      <w:r>
        <w:rPr/>
        <w:t xml:space="preserve">فمن نحلته قال: يمكن أن يكون جميع الأمة في الباطن كفارا لجواز ذلك على كل فرد منهم، ويقول: الأجسام إنما هي أعراض مجتمعة، وإن النار لا حر فيها ولا في الثلج برد ولا في العسل حلاوة، وإنما يخلق ذلك عند الذوق واللمس.</w:t>
      </w:r>
    </w:p>
    <w:p/>
    <w:p>
      <w:pPr/>
      <w:r>
        <w:rPr/>
        <w:t xml:space="preserve">وقال المروذي: قال أحمد بن حنبل: شهدت على ضرار بن عمرو عند سعيد بن عبد الرحمن فأمر بضرب عنقه فهرب.</w:t>
      </w:r>
    </w:p>
    <w:p/>
    <w:p>
      <w:pPr/>
      <w:r>
        <w:rPr/>
        <w:t xml:space="preserve">وقال حنبل: دخلت على ضرار ببغداد وكان مشوها وبه فالج، وكان معتزليا فأنكر الجنة والنار وقال: اختلف فيهما هل خلقتا بعد أم لا؟ فوثب عليه أصحاب الحديث وضربوه.</w:t>
      </w:r>
    </w:p>
    <w:p/>
    <w:p>
      <w:pPr/>
      <w:r>
        <w:rPr/>
        <w:t xml:space="preserve">وقال أحمد بن حنبل: إنكار وجودهما كفر قال تعالى: </w:t>
      </w:r>
    </w:p>
    <w:p>
      <w:pPr/>
      <w:r>
        <w:rPr>
          <w:color w:val="0000ff"/>
        </w:rPr>
        <w:t xml:space="preserve">{النار يعرضون عليها غدوا وعشيا}</w:t>
      </w:r>
    </w:p>
    <w:p>
      <w:pPr/>
      <w:r>
        <w:rPr/>
        <w:t xml:space="preserve">.</w:t>
      </w:r>
    </w:p>
    <w:p/>
    <w:p>
      <w:pPr/>
      <w:r>
        <w:rPr/>
        <w:t xml:space="preserve">قال أحمد: فهرب قالوا: أخفاه يحيى بن خالد حتى مات.</w:t>
      </w:r>
    </w:p>
    <w:p/>
    <w:p>
      <w:pPr/>
      <w:r>
        <w:rPr/>
        <w:t xml:space="preserve">قلت: هذا يدل على موته في زمن الرشيد.</w:t>
      </w:r>
    </w:p>
    <w:p/>
    <w:p>
      <w:pPr/>
      <w:r>
        <w:rPr/>
        <w:t xml:space="preserve">فأما حكاية جنيد فيكون حكاها عن أحمد.</w:t>
      </w:r>
    </w:p>
    <w:p/>
    <w:p>
      <w:pPr/>
      <w:r>
        <w:rPr/>
        <w:t xml:space="preserve">وأيضا فإن حفصا الفرد الذي كفره الشافعي في مناظرته من تلامذة ضرار.</w:t>
      </w:r>
    </w:p>
    <w:p/>
    <w:p>
      <w:pPr/>
      <w:r>
        <w:rPr/>
        <w:t xml:space="preserve">قال ابن حزم: كان ضرار ينكر عذاب القبر.</w:t>
      </w:r>
    </w:p>
    <w:p/>
    <w:p>
      <w:pPr/>
      <w:r>
        <w:rPr/>
        <w:t xml:space="preserve">وقال أبو همام السكوني: شهد قوم على ضرار بأنه زنديق فقال سعيد: قد أبحت دمه فمن شاء فليقتله قال: فعزلوا سعيدا من القضاء فمر شريك القاضي، ورجل ينادي: من أصاب ضرارا فله عشرة آلاف فقال شريك: الساعة خلفته عند يحيى البرمكي أراد شريك أن يعلم أنهم ينادون عليه، وهو عندهم.</w:t>
      </w:r>
    </w:p>
    <w:p/>
    <w:p>
      <w:pPr/>
      <w:r>
        <w:rPr/>
        <w:t xml:space="preserve">قلت: لمثل هذا تكلم الناس في دين البرامكة، وضرار أكبر من هؤلاء المتعاصرين، وله تصانيف كثيرة تؤذن بذكائه وكثرة اطلاعه على الملل والنحل.</w:t>
      </w:r>
    </w:p>
    <w:p/>
    <w:p>
      <w:pPr/>
      <w:r>
        <w:rPr/>
        <w:t xml:space="preserve">ومنهم المتكلم البارع: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530)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2026-06-02T20:48:13+03:00</dcterms:created>
  <dcterms:modified xsi:type="dcterms:W3CDTF">2026-06-02T20:48:13+03:00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