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العتبي
</w:t>
      </w:r>
    </w:p>
    <w:p>
      <w:pPr>
        <w:jc w:val="start"/>
        <w:bidi/>
      </w:pPr>
      <w:r>
        <w:rPr>
          <w:rFonts w:ascii="arial" w:hAnsi="arial" w:eastAsia="arial" w:cs="arial"/>
          <w:sz w:val="28"/>
          <w:szCs w:val="28"/>
          <w:b w:val="1"/>
          <w:bCs w:val="1"/>
          <w:rtl/>
        </w:rPr>
        <w:t xml:space="preserve">العتبي
</w:t>
      </w:r>
    </w:p>
    <w:p>
      <w:pPr/>
      <w:r>
        <w:rPr/>
        <w:t xml:space="preserve">العتبي  محمد بن عبد الجبار العتبي، من عتبة ابن غزوان، ابو نصر: مؤرخ من الكتاب الشعراء اصله من الري نشأ في خرسان، وولي نيابتها. ثم استوطن نيسابور. وانتهت اليه رياسة الانشاء في خراسان والعراق. وناب عن شمس المعالي قابوس بن وشمكير في خرسان إلى ان توفي من كتبه (الطائف التاب) في الادب، و (اليمنى -ط) نسبة إلى السلطان يمين الدولة محمود بن سبكتكين، شرحة المنيني في مجلدين، ويعرف بتاريخ العتبي. </w:t>
      </w:r>
    </w:p>
    <w:p>
      <w:pPr>
        <w:jc w:val="start"/>
        <w:bidi/>
      </w:pPr>
      <w:r>
        <w:rPr>
          <w:sz w:val="24"/>
          <w:szCs w:val="24"/>
          <w:b w:val="1"/>
          <w:bCs w:val="1"/>
          <w:rtl/>
        </w:rPr>
        <w:t xml:space="preserve">
الأعلام،(دار العلم للملايين - بيروت،2002،ط 15،ج 6،ص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2026-07-27T08:38:41+03:00</dcterms:created>
  <dcterms:modified xsi:type="dcterms:W3CDTF">2026-07-27T08:38:41+03:00</dcterms:modified>
</cp:coreProperties>
</file>

<file path=docProps/custom.xml><?xml version="1.0" encoding="utf-8"?>
<Properties xmlns="http://schemas.openxmlformats.org/officeDocument/2006/custom-properties" xmlns:vt="http://schemas.openxmlformats.org/officeDocument/2006/docPropsVTypes"/>
</file>