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سودة
</w:t>
      </w:r>
    </w:p>
    <w:p>
      <w:pPr>
        <w:jc w:val="start"/>
        <w:bidi/>
      </w:pPr>
      <w:r>
        <w:rPr>
          <w:rFonts w:ascii="arial" w:hAnsi="arial" w:eastAsia="arial" w:cs="arial"/>
          <w:sz w:val="28"/>
          <w:szCs w:val="28"/>
          <w:b w:val="1"/>
          <w:bCs w:val="1"/>
          <w:rtl/>
        </w:rPr>
        <w:t xml:space="preserve">ابن سودة
</w:t>
      </w:r>
    </w:p>
    <w:p>
      <w:pPr/>
      <w:r>
        <w:rPr/>
        <w:t xml:space="preserve">ابن سودة  محمد العابد بن أحمد بن الطالب، ابن سودة المري : مؤرخ فقيه، من علماء فاس. كان فيها خطيب مسجد المولى إدريس أكثر من خمسين سنة. وشجر خلاف بين أهلها في تقسيم الماء الداخل إليها من الوادي (سنة 1336 ه‍) فوضع في ذلك كتاب (بغية الاكياس في معرفة قسم وادي فاس - خ) عند حفيده مصنف (دليل مؤرخ المغرب) ومن كتبه أيضا (الانباء المنشودة في رجال بيت بني سودة - خ) مجلد ضخم، ذكره حفيده وقال : يسر الله طبعه. و (إزالة اللبس والشبهات عن ثبوت الشرف من قبل الامهات - ط) و (مسامرة الاعلام، وتنبيه العوام، بكراهية القيام لمولد خير الانام - ط) وله كتاب صغير في (الرد على وديع كرم - ط) ذكر فيه مؤلفاته. توفي بفاس. </w:t>
      </w:r>
    </w:p>
    <w:p>
      <w:pPr>
        <w:jc w:val="start"/>
        <w:bidi/>
      </w:pPr>
      <w:r>
        <w:rPr>
          <w:sz w:val="24"/>
          <w:szCs w:val="24"/>
          <w:b w:val="1"/>
          <w:bCs w:val="1"/>
          <w:rtl/>
        </w:rPr>
        <w:t xml:space="preserve">
الأعلام،(دار العلم للملايين - بيروت،2002،ط 15،ج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2026-07-26T03:42:51+03:00</dcterms:created>
  <dcterms:modified xsi:type="dcterms:W3CDTF">2026-07-26T03:42:51+03:00</dcterms:modified>
</cp:coreProperties>
</file>

<file path=docProps/custom.xml><?xml version="1.0" encoding="utf-8"?>
<Properties xmlns="http://schemas.openxmlformats.org/officeDocument/2006/custom-properties" xmlns:vt="http://schemas.openxmlformats.org/officeDocument/2006/docPropsVTypes"/>
</file>