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
</w:t>
      </w:r>
    </w:p>
    <w:p>
      <w:pPr/>
      <w:r>
        <w:rPr/>
        <w:t xml:space="preserve">شعيب فما علمت به بأسا. وقد ذكره ابن حبان في ’’الثقات’’، وقال: روى عن: جده، وأبيه محمد، ومعاوية.</w:t>
      </w:r>
    </w:p>
    <w:p/>
    <w:p>
      <w:pPr/>
      <w:r>
        <w:rPr/>
        <w:t xml:space="preserve">قلت: مع أن روايته عن أبيه محمد في ’’سنن أبي داود’’ و ’’النسائي’’ و ’’الترمذي’’ والمتن هو ’’لا يحل سلف وبيع’’.</w:t>
      </w:r>
    </w:p>
    <w:p/>
    <w:p>
      <w:pPr/>
      <w:r>
        <w:rPr/>
        <w:t xml:space="preserve">حدث عنه: ابناه؛ عمرو وعمر، وثابت البناني، فنسبه إلى جده، فقال: شعيب بن عبد الله بن عمرو. وممن روى عنه أيضا: عثمان بن حكيم، وعطاء الخراساني. وقد ذكر البخاري، وأبو داود، وغير واحد: أنه سمع من جده، ومن ابن عباس، وابن عمر. ولم نعلم متى توفي، فلعله مات بعد الثمانين، في دولة عبد الملك.</w:t>
      </w:r>
    </w:p>
    <w:p/>
    <w:p>
      <w:pPr/>
      <w:r>
        <w:rPr/>
        <w:t xml:space="preserve">وأما أبو شعيب محمد بن عبد الله بن عمرو: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5،ص 491)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2026-06-21T16:58:53+03:00</dcterms:created>
  <dcterms:modified xsi:type="dcterms:W3CDTF">2026-06-21T16:58:53+03:00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