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المازني النجاري
</w:t>
      </w:r>
    </w:p>
    <w:p>
      <w:pPr>
        <w:jc w:val="start"/>
        <w:bidi/>
      </w:pPr>
      <w:r>
        <w:rPr>
          <w:rFonts w:ascii="arial" w:hAnsi="arial" w:eastAsia="arial" w:cs="arial"/>
          <w:sz w:val="28"/>
          <w:szCs w:val="28"/>
          <w:b w:val="1"/>
          <w:bCs w:val="1"/>
          <w:rtl/>
        </w:rPr>
        <w:t xml:space="preserve">عبد الله بن زيد المازني النجاري
</w:t>
      </w:r>
    </w:p>
    <w:p>
      <w:pPr/>
      <w:r>
        <w:rPr/>
        <w:t xml:space="preserve">عبد الله بن زيد المازني النجاري صاحب حديث الوضوء، فمن فضلاء الصحابة. يعرف بابن أم عمارة، وهو عبد الله بن زيد بن عاصم بن كعب، أحد بني مازن بن النجار. ذكر ابن مندة فقط أنه بدري.</w:t>
      </w:r>
    </w:p>
    <w:p/>
    <w:p>
      <w:pPr/>
      <w:r>
        <w:rPr/>
        <w:t xml:space="preserve">وقال أبو عمر بن عبد البر وغيره: بل هو أحدي، وهو الذي قتل مسيلمة بالسيف مع رمية وحشي له بحربته، وهو عم عباد بن تميم.</w:t>
      </w:r>
    </w:p>
    <w:p/>
    <w:p>
      <w:pPr/>
      <w:r>
        <w:rPr/>
        <w:t xml:space="preserve">قيل: إنه قتل يوم الحرة، سنة ثلاث وستين.</w:t>
      </w:r>
    </w:p>
    <w:p>
      <w:pPr>
        <w:jc w:val="start"/>
        <w:bidi/>
      </w:pPr>
      <w:r>
        <w:rPr>
          <w:sz w:val="24"/>
          <w:szCs w:val="24"/>
          <w:b w:val="1"/>
          <w:bCs w:val="1"/>
          <w:rtl/>
        </w:rPr>
        <w:t xml:space="preserve">
سير أعلام النبلاء،(دار الحديث- القاهرة،2006،ط 0،ج 4،ص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2026-06-19T12:38:07+03:00</dcterms:created>
  <dcterms:modified xsi:type="dcterms:W3CDTF">2026-06-19T12:38:07+03:00</dcterms:modified>
</cp:coreProperties>
</file>

<file path=docProps/custom.xml><?xml version="1.0" encoding="utf-8"?>
<Properties xmlns="http://schemas.openxmlformats.org/officeDocument/2006/custom-properties" xmlns:vt="http://schemas.openxmlformats.org/officeDocument/2006/docPropsVTypes"/>
</file>