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هبة الله بن حامد بن أحمد بن أيوب
</w:t>
      </w:r>
    </w:p>
    <w:p>
      <w:pPr>
        <w:jc w:val="start"/>
        <w:bidi/>
      </w:pPr>
      <w:r>
        <w:rPr>
          <w:rFonts w:ascii="arial" w:hAnsi="arial" w:eastAsia="arial" w:cs="arial"/>
          <w:sz w:val="28"/>
          <w:szCs w:val="28"/>
          <w:b w:val="1"/>
          <w:bCs w:val="1"/>
          <w:rtl/>
        </w:rPr>
        <w:t xml:space="preserve">هبة الله بن حامد بن أحمد بن أيوب
</w:t>
      </w:r>
    </w:p>
    <w:p>
      <w:pPr/>
      <w:r>
        <w:rPr/>
        <w:t xml:space="preserve">هبة الله بن حامد بن أحمد بن أيوب بن علي بن أيوب أبو منصور: يعرف بعميد الرؤساء، أديب فاضل نحوي لغوي شاعر، شيخ وقته ومتصدر بلده، أخذ عنه أهل تلك البلاد الأدب، وأخذ هو عن أبي الحسن علي بن عبد الرحيم الرقي المعروف بابن العصار وغيره. وله نظم ونثر وكان يلقب بوجه الدويبة، وسمع المقامات من ابن النقور وروى عنه، مات سنة عشر وستمائة.</w:t>
      </w:r>
    </w:p>
    <w:p>
      <w:pPr>
        <w:jc w:val="start"/>
        <w:bidi/>
      </w:pPr>
      <w:r>
        <w:rPr>
          <w:sz w:val="24"/>
          <w:szCs w:val="24"/>
          <w:b w:val="1"/>
          <w:bCs w:val="1"/>
          <w:rtl/>
        </w:rPr>
        <w:t xml:space="preserve">
معجم الأدباء / إرشاد الأريب إلى معرفة الأديب،(دار الغرب الإسلامي - بيروت،1993،ط 0،ج 6،ص 2764)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2026-06-15T15:56:24+03:00</dcterms:created>
  <dcterms:modified xsi:type="dcterms:W3CDTF">2026-06-15T15:56:24+03:00</dcterms:modified>
</cp:coreProperties>
</file>

<file path=docProps/custom.xml><?xml version="1.0" encoding="utf-8"?>
<Properties xmlns="http://schemas.openxmlformats.org/officeDocument/2006/custom-properties" xmlns:vt="http://schemas.openxmlformats.org/officeDocument/2006/docPropsVTypes"/>
</file>