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أحمد بن عبد الواحد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أحمد بن عبد الواحد بن هاشم
</w:t>
      </w:r>
    </w:p>
    <w:p>
      <w:pPr/>
      <w:r>
        <w:rPr/>
        <w:t xml:space="preserve">هاشم بن أحمد بن عبد الواحد بن هاشم بن محمد بن هاشم بن علي بن هاشم الحلبي الأسدي الخطيب: أصل آله من الرقة وانتقلوا إلى حلب، وكان حسن القراءة والعبادة والزهد.</w:t>
      </w:r>
    </w:p>
    <w:p/>
    <w:p>
      <w:pPr/>
      <w:r>
        <w:rPr/>
        <w:t xml:space="preserve">صنف كتاب اللحن الخفي. وكتاب أفراد أبي عمرو بن العلاء، وغير ذلك.</w:t>
      </w:r>
    </w:p>
    <w:p/>
    <w:p>
      <w:pPr/>
      <w:r>
        <w:rPr/>
        <w:t xml:space="preserve">وولي خطابة حلب، ولما خطب اعتنقه أبو عبد الله ابن القيسراني الشاعر وقال له:</w:t>
      </w:r>
    </w:p>
    <w:p/>
    <w:p>
      <w:pPr>
        <w:jc w:val="center"/>
      </w:pPr>
      <w:r>
        <w:rPr>
          <w:color w:val="ff0000"/>
        </w:rPr>
        <w:t xml:space="preserve">شرح المنبر صدرا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لتلقيك رحيبا</w:t>
      </w:r>
    </w:p>
    <w:p/>
    <w:p>
      <w:pPr>
        <w:jc w:val="center"/>
      </w:pPr>
      <w:r>
        <w:rPr>
          <w:color w:val="ff0000"/>
        </w:rPr>
        <w:t xml:space="preserve">أترى ضم خطيبا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منك أم ضمخ طيبا</w:t>
      </w:r>
    </w:p>
    <w:p/>
    <w:p>
      <w:pPr/>
      <w:r>
        <w:rPr/>
        <w:t xml:space="preserve">ولد سنة ست وستين وأربعمائة ومات في جمادى الآخرة سنة سبع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2026-06-15T15:57:10+03:00</dcterms:created>
  <dcterms:modified xsi:type="dcterms:W3CDTF">2026-06-15T15:57:10+03:00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