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يحيى بن محمد
</w:t>
      </w:r>
    </w:p>
    <w:p>
      <w:pPr>
        <w:jc w:val="start"/>
        <w:bidi/>
      </w:pPr>
      <w:r>
        <w:rPr>
          <w:rFonts w:ascii="arial" w:hAnsi="arial" w:eastAsia="arial" w:cs="arial"/>
          <w:sz w:val="28"/>
          <w:szCs w:val="28"/>
          <w:b w:val="1"/>
          <w:bCs w:val="1"/>
          <w:rtl/>
        </w:rPr>
        <w:t xml:space="preserve">محمد بن يحيى بن محمد
</w:t>
      </w:r>
    </w:p>
    <w:p>
      <w:pPr/>
      <w:r>
        <w:rPr/>
        <w:t xml:space="preserve">محمد بن يحيى بن محمد  أبو عبد الله ابن الحذاء التميمي الأندلسي: كان محدثا فقيها وخطيبا بليغا عارفا بفنون الأدب بارعا بها، له معرفة تامة بعلم التعبير.</w:t>
      </w:r>
    </w:p>
    <w:p/>
    <w:p>
      <w:pPr/>
      <w:r>
        <w:rPr/>
        <w:t xml:space="preserve">أخذ عن ابن عون الله وابن بطال وابن زرب وغيرهم، وتفقه على ابن أبي زيد القيرواني وقرأ عليه تآليفه، ورحل إلى مصر فأخذ بها عن الحافظ عبد الغني والجوهري وغيرهما، ثم رجع إلى الأندلس فولي القضاء ببلنسية وغيرها، ثم رحل في فتنة البربر فاستوطن سرقسطة إلى أن مات بها سنة عشر وأربعمائة.</w:t>
      </w:r>
    </w:p>
    <w:p/>
    <w:p>
      <w:pPr/>
      <w:r>
        <w:rPr/>
        <w:t xml:space="preserve">ومن تصانيفه كتاب الخطب والخطباء في مجلدين. والبشرى في تعبير الرؤيا، كبير يدخل في عشر مجلدات. والانباء بمعاني الأسماء، أسماء الله تعالى.</w:t>
      </w:r>
    </w:p>
    <w:p/>
    <w:p>
      <w:pPr/>
      <w:r>
        <w:rPr/>
        <w:t xml:space="preserve">والاستنباط لمعاني السنن والأحكام، في عدة أسفار. والتعريف برجال الموطأ،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2026-06-15T20:06:28+03:00</dcterms:created>
  <dcterms:modified xsi:type="dcterms:W3CDTF">2026-06-15T20:06:28+03:00</dcterms:modified>
</cp:coreProperties>
</file>

<file path=docProps/custom.xml><?xml version="1.0" encoding="utf-8"?>
<Properties xmlns="http://schemas.openxmlformats.org/officeDocument/2006/custom-properties" xmlns:vt="http://schemas.openxmlformats.org/officeDocument/2006/docPropsVTypes"/>
</file>