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محمد بن موسى
</w:t>
      </w:r>
    </w:p>
    <w:p>
      <w:pPr>
        <w:jc w:val="start"/>
        <w:bidi/>
      </w:pPr>
      <w:r>
        <w:rPr>
          <w:rFonts w:ascii="arial" w:hAnsi="arial" w:eastAsia="arial" w:cs="arial"/>
          <w:sz w:val="28"/>
          <w:szCs w:val="28"/>
          <w:b w:val="1"/>
          <w:bCs w:val="1"/>
          <w:rtl/>
        </w:rPr>
        <w:t xml:space="preserve">محمد بن عبد الله بن محمد بن موسى
</w:t>
      </w:r>
    </w:p>
    <w:p>
      <w:pPr/>
      <w:r>
        <w:rPr/>
        <w:t xml:space="preserve">محمد بن عبد الله بن محمد بن موسى أبو عبد الله الكرماني النحوي الوراق: كان عالما فاضلا عارفا بالنحو واللغة، مليح الخط صحيح النقل يورق بالأجرة. قرأ على ثعلب وخلط المذهبين، وله من الكتب: الموجز في النحو.</w:t>
      </w:r>
    </w:p>
    <w:p/>
    <w:p>
      <w:pPr/>
      <w:r>
        <w:rPr/>
        <w:t xml:space="preserve">وكتاب آخر فيه لم يتم. والجامع في اللغة، ذكر فيه ما أغفله الخليل في «العين» وما ذكر أنه مهمل وهو مستعمل وقد أهمل، وكان بينه وبين ابن دريد مناقضة. مات سنة تسع وعشرين وثلاثمائة.</w:t>
      </w:r>
    </w:p>
    <w:p>
      <w:pPr>
        <w:jc w:val="start"/>
        <w:bidi/>
      </w:pPr>
      <w:r>
        <w:rPr>
          <w:sz w:val="24"/>
          <w:szCs w:val="24"/>
          <w:b w:val="1"/>
          <w:bCs w:val="1"/>
          <w:rtl/>
        </w:rPr>
        <w:t xml:space="preserve">
معجم الأدباء / إرشاد الأريب إلى معرفة الأديب،(دار الغرب الإسلامي - بيروت،1993،ط 0،ج 6،ص 2548)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2026-06-13T19:42:48+03:00</dcterms:created>
  <dcterms:modified xsi:type="dcterms:W3CDTF">2026-06-13T19:42:48+03:00</dcterms:modified>
</cp:coreProperties>
</file>

<file path=docProps/custom.xml><?xml version="1.0" encoding="utf-8"?>
<Properties xmlns="http://schemas.openxmlformats.org/officeDocument/2006/custom-properties" xmlns:vt="http://schemas.openxmlformats.org/officeDocument/2006/docPropsVTypes"/>
</file>