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طويس القصري أبو الطيب
</w:t>
      </w:r>
    </w:p>
    <w:p>
      <w:pPr>
        <w:jc w:val="start"/>
        <w:bidi/>
      </w:pPr>
      <w:r>
        <w:rPr>
          <w:rFonts w:ascii="arial" w:hAnsi="arial" w:eastAsia="arial" w:cs="arial"/>
          <w:sz w:val="28"/>
          <w:szCs w:val="28"/>
          <w:b w:val="1"/>
          <w:bCs w:val="1"/>
          <w:rtl/>
        </w:rPr>
        <w:t xml:space="preserve">محمد بن طويس القصري أبو الطيب
</w:t>
      </w:r>
    </w:p>
    <w:p>
      <w:pPr/>
      <w:r>
        <w:rPr/>
        <w:t xml:space="preserve">محمد بن طويس القصري أبو الطيب: هو من النحويين المعتزلة، أحد</w:t>
      </w:r>
    </w:p>
    <w:p/>
    <w:p>
      <w:pPr/>
      <w:r>
        <w:rPr/>
        <w:t xml:space="preserve">تلاميذ أبي علي الفارسي، أملى عليه «المسائل القصريات» وبه سميت، وأظنه من قصر ابن هبيرة من نواحي الكوفة، وقرأت في «المفاوضة» انه لما كان حدثا كان أبو علي الفارسي يتعشقه ويخصه بالطرف ويحرص على الاملاء عليه والالتفات إليه، مات شابا.</w:t>
      </w:r>
    </w:p>
    <w:p>
      <w:pPr>
        <w:jc w:val="start"/>
        <w:bidi/>
      </w:pPr>
      <w:r>
        <w:rPr>
          <w:sz w:val="24"/>
          <w:szCs w:val="24"/>
          <w:b w:val="1"/>
          <w:bCs w:val="1"/>
          <w:rtl/>
        </w:rPr>
        <w:t xml:space="preserve">
معجم الأدباء / إرشاد الأريب إلى معرفة الأديب،(دار الغرب الإسلامي - بيروت،1993،ط 0،ج 6،ص 2542)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2026-06-10T07:56:42+03:00</dcterms:created>
  <dcterms:modified xsi:type="dcterms:W3CDTF">2026-06-10T07:56:42+03:00</dcterms:modified>
</cp:coreProperties>
</file>

<file path=docProps/custom.xml><?xml version="1.0" encoding="utf-8"?>
<Properties xmlns="http://schemas.openxmlformats.org/officeDocument/2006/custom-properties" xmlns:vt="http://schemas.openxmlformats.org/officeDocument/2006/docPropsVTypes"/>
</file>