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 ويقال ابن سعيد الرباحي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ويقال ابن سعيد الرباحي
</w:t>
      </w:r>
    </w:p>
    <w:p>
      <w:pPr/>
      <w:r>
        <w:rPr/>
        <w:t xml:space="preserve">محمد بن سعد ويقال ابن سعيد الرباحي - بالباء الموحدة- أبو عبد الله الأعرج الطليطلي الخطيب النحوي اللغوي: أصله من قلعة رباح من أعمال طليطلة</w:t>
      </w:r>
    </w:p>
    <w:p/>
    <w:p>
      <w:pPr/>
      <w:r>
        <w:rPr/>
        <w:t xml:space="preserve">بالأندلس، رحل إلى المشرق وسمع بمصر ابن الورد وابن السكن، وحدث وأفاد، مولده سنة تسع وثلاثمائة وتوفي في ربيع الآخر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2026-06-10T07:57:18+03:00</dcterms:created>
  <dcterms:modified xsi:type="dcterms:W3CDTF">2026-06-10T07:57:18+03:00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