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محمد بن علي بن حمدون
</w:t>
      </w:r>
    </w:p>
    <w:p>
      <w:pPr>
        <w:jc w:val="start"/>
        <w:bidi/>
      </w:pPr>
      <w:r>
        <w:rPr>
          <w:rFonts w:ascii="arial" w:hAnsi="arial" w:eastAsia="arial" w:cs="arial"/>
          <w:sz w:val="28"/>
          <w:szCs w:val="28"/>
          <w:b w:val="1"/>
          <w:bCs w:val="1"/>
          <w:rtl/>
        </w:rPr>
        <w:t xml:space="preserve">محمد بن الحسن بن محمد بن علي بن حمدون
</w:t>
      </w:r>
    </w:p>
    <w:p>
      <w:pPr/>
      <w:r>
        <w:rPr/>
        <w:t xml:space="preserve">محمد بن الحسن بن محمد بن علي بن حمدون غرس الدولة أبو نصر المنشئ الأديب: من كتاب الانشاء ببغداد له ترسل وشعر، توفي سنة خمس وأربعين وخمسمائة، وهو أخو محمد بن الحسن صاحب التذكرة وذاك لقبه أبو المعالي وهذا لقبه أبو نصر. وكتب في الديوان في أوائل سنة ثلاث عشرة وخمسمائة إلى أن توفي.</w:t>
      </w:r>
    </w:p>
    <w:p/>
    <w:p>
      <w:pPr/>
      <w:r>
        <w:rPr/>
        <w:t xml:space="preserve">وكان منفردا بالمهمات، ولم يثبت رسائله لأنها كانت تنثال عليه انثيالا ويكتبها ارتجالا، وله: كتاب رسائل: وتاريخ الحوادث.</w:t>
      </w:r>
    </w:p>
    <w:p>
      <w:pPr>
        <w:jc w:val="start"/>
        <w:bidi/>
      </w:pPr>
      <w:r>
        <w:rPr>
          <w:sz w:val="24"/>
          <w:szCs w:val="24"/>
          <w:b w:val="1"/>
          <w:bCs w:val="1"/>
          <w:rtl/>
        </w:rPr>
        <w:t xml:space="preserve">
معجم الأدباء / إرشاد الأريب إلى معرفة الأديب،(دار الغرب الإسلامي - بيروت،1993،ط 0،ج 6،ص 2523)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محمد بن علي بن حمدون الملقب غرس الدولة أبو نصر المنشئ 
</w:t>
      </w:r>
    </w:p>
    <w:p>
      <w:pPr/>
      <w:r>
        <w:rPr/>
        <w:t xml:space="preserve">محمد بن الحسن بن محمد بن عليّ بن حمدون الملقّب غرس الدّولة، أبو نصر المنشئ. </w:t>
      </w:r>
    </w:p>
    <w:p/>
    <w:p>
      <w:pPr/>
      <w:r>
        <w:rPr/>
        <w:t xml:space="preserve">كان ينوب في ديوان الإنشاء عن سديد الدّولة محمد بن عبد الكريم ابن الأنباري، ولم يزل يكتب في الديوان من أوائل سنة ثلاث عشرة وخمس مائة إلى أن مات في ذي الحجة من سنة أربع وأربعين وخمس مائة.</w:t>
      </w:r>
    </w:p>
    <w:p/>
    <w:p>
      <w:pPr/>
      <w:r>
        <w:rPr/>
        <w:t xml:space="preserve">اجتمع من رسائله عشر مجلّدات، وقفت على مجلّد واحد منها، وقيل: إنه لم يكن يعتني بجمعها. وله أشعار مدوّنة.</w:t>
      </w:r>
    </w:p>
    <w:p>
      <w:pPr>
        <w:jc w:val="start"/>
        <w:bidi/>
      </w:pPr>
      <w:r>
        <w:rPr>
          <w:sz w:val="24"/>
          <w:szCs w:val="24"/>
          <w:b w:val="1"/>
          <w:bCs w:val="1"/>
          <w:rtl/>
        </w:rPr>
        <w:t xml:space="preserve">
الدر الثمين في أسماء المصنفين،(دار الغرب الإسلامي - تونس،2009،ط 1،ج 1،ص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2026-06-10T07:56:42+03:00</dcterms:created>
  <dcterms:modified xsi:type="dcterms:W3CDTF">2026-06-10T07:56:42+03:00</dcterms:modified>
</cp:coreProperties>
</file>

<file path=docProps/custom.xml><?xml version="1.0" encoding="utf-8"?>
<Properties xmlns="http://schemas.openxmlformats.org/officeDocument/2006/custom-properties" xmlns:vt="http://schemas.openxmlformats.org/officeDocument/2006/docPropsVTypes"/>
</file>