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الجهم بن هارون السمري، أبو عبد الله الكاتب
</w:t>
      </w:r>
    </w:p>
    <w:p>
      <w:pPr>
        <w:jc w:val="start"/>
        <w:bidi/>
      </w:pPr>
      <w:r>
        <w:rPr>
          <w:rFonts w:ascii="arial" w:hAnsi="arial" w:eastAsia="arial" w:cs="arial"/>
          <w:sz w:val="28"/>
          <w:szCs w:val="28"/>
          <w:b w:val="1"/>
          <w:bCs w:val="1"/>
          <w:rtl/>
        </w:rPr>
        <w:t xml:space="preserve">محمد بن الجهم بن هارون السمري، أبو عبد الله الكاتب
</w:t>
      </w:r>
    </w:p>
    <w:p>
      <w:pPr/>
      <w:r>
        <w:rPr/>
        <w:t xml:space="preserve">محمد بن الجهم بن هارون السمري، أبو عبد الله الكاتب: مات سنة سبع وسبعين ومائتين عن تسع وثمانين سنة، ذكر ذلك أبو بكر ابن علي وقال: سمع يعلى بن عبيد الطنافسي وعبد الوهاب بن عطاء ويزيد بن هارون وآدم بن أبي إياس وروى عن الفراء تصانيفه. حدث عنه موسى بن هارون الحافظ والقاسم بن محمد الأنباري وأبو بكر ابن مجاهد المقرئ ونفطويه وإسماعيل بن محمد الصفار وغيرهم.</w:t>
      </w:r>
    </w:p>
    <w:p/>
    <w:p>
      <w:pPr/>
      <w:r>
        <w:rPr/>
        <w:t xml:space="preserve">قال الدارقطني: هو ثقة صدوق.</w:t>
      </w:r>
    </w:p>
    <w:p/>
    <w:p>
      <w:pPr/>
      <w:r>
        <w:rPr/>
        <w:t xml:space="preserve">قال المرزباني: محمد بن الجهم بن هارون السمري أبو عبد الله صاحب الفراء، وروى كتابه في معاني القرآن، وهو أحد الثقات من رواة المسند، وهو القائل يمدح الفراء ويصف مذهبه في النحو:</w:t>
      </w:r>
    </w:p>
    <w:p/>
    <w:p>
      <w:pPr>
        <w:jc w:val="center"/>
      </w:pPr>
      <w:r>
        <w:rPr>
          <w:color w:val="ff0000"/>
        </w:rPr>
        <w:t xml:space="preserve">أكثر النحو يزعم الفراء</w:t>
      </w:r>
      <w:r>
        <w:rPr>
          <w:color w:val="ff0000"/>
        </w:rPr>
        <w:t xml:space="preserve">      </w:t>
      </w:r>
      <w:r>
        <w:rPr>
          <w:color w:val="ff0000"/>
        </w:rPr>
        <w:t xml:space="preserve">من وجوه تأويلهن الجزاء</w:t>
      </w:r>
    </w:p>
    <w:p/>
    <w:p>
      <w:pPr/>
      <w:r>
        <w:rPr/>
        <w:t xml:space="preserve">وهي أبيات يقول فيها:</w:t>
      </w:r>
    </w:p>
    <w:p/>
    <w:p>
      <w:pPr/>
      <w:r>
        <w:rPr/>
        <w:t xml:space="preserve">نحوه أحسن النحو فما فيه معيب ولا به إزراء</w:t>
      </w:r>
    </w:p>
    <w:p/>
    <w:p>
      <w:pPr>
        <w:jc w:val="center"/>
      </w:pPr>
      <w:r>
        <w:rPr>
          <w:color w:val="ff0000"/>
        </w:rPr>
        <w:t xml:space="preserve">ليس من صنعة الضعائف لكن</w:t>
      </w:r>
      <w:r>
        <w:rPr>
          <w:color w:val="ff0000"/>
        </w:rPr>
        <w:t xml:space="preserve">      </w:t>
      </w:r>
      <w:r>
        <w:rPr>
          <w:color w:val="ff0000"/>
        </w:rPr>
        <w:t xml:space="preserve">فيه فقه وحكمة وضياء</w:t>
      </w:r>
    </w:p>
    <w:p/>
    <w:p>
      <w:pPr>
        <w:jc w:val="center"/>
      </w:pPr>
      <w:r>
        <w:rPr>
          <w:color w:val="ff0000"/>
        </w:rPr>
        <w:t xml:space="preserve">وبيان تصغي القلوب إليه</w:t>
      </w:r>
      <w:r>
        <w:rPr>
          <w:color w:val="ff0000"/>
        </w:rPr>
        <w:t xml:space="preserve">      </w:t>
      </w:r>
      <w:r>
        <w:rPr>
          <w:color w:val="ff0000"/>
        </w:rPr>
        <w:t xml:space="preserve">يجتبيه الملوك والحكماء </w:t>
      </w:r>
    </w:p>
    <w:p/>
    <w:p>
      <w:pPr>
        <w:jc w:val="center"/>
      </w:pPr>
      <w:r>
        <w:rPr>
          <w:color w:val="ff0000"/>
        </w:rPr>
        <w:t xml:space="preserve">حجة توضح الصواب وما قا</w:t>
      </w:r>
      <w:r>
        <w:rPr>
          <w:color w:val="ff0000"/>
        </w:rPr>
        <w:t xml:space="preserve">      </w:t>
      </w:r>
      <w:r>
        <w:rPr>
          <w:color w:val="ff0000"/>
        </w:rPr>
        <w:t xml:space="preserve">ل سواه فباطل وخطاء</w:t>
      </w:r>
    </w:p>
    <w:p/>
    <w:p>
      <w:pPr>
        <w:jc w:val="center"/>
      </w:pPr>
      <w:r>
        <w:rPr>
          <w:color w:val="ff0000"/>
        </w:rPr>
        <w:t xml:space="preserve">ليس من قال بالصواب كمن قا</w:t>
      </w:r>
      <w:r>
        <w:rPr>
          <w:color w:val="ff0000"/>
        </w:rPr>
        <w:t xml:space="preserve">      </w:t>
      </w:r>
      <w:r>
        <w:rPr>
          <w:color w:val="ff0000"/>
        </w:rPr>
        <w:t xml:space="preserve">ل بجهل والجهل داء عياء</w:t>
      </w:r>
    </w:p>
    <w:p/>
    <w:p>
      <w:pPr>
        <w:jc w:val="center"/>
      </w:pPr>
      <w:r>
        <w:rPr>
          <w:color w:val="ff0000"/>
        </w:rPr>
        <w:t xml:space="preserve">وكأني أراه يملي علينا</w:t>
      </w:r>
      <w:r>
        <w:rPr>
          <w:color w:val="ff0000"/>
        </w:rPr>
        <w:t xml:space="preserve">      </w:t>
      </w:r>
      <w:r>
        <w:rPr>
          <w:color w:val="ff0000"/>
        </w:rPr>
        <w:t xml:space="preserve">وله واجبا علينا الدعاء</w:t>
      </w:r>
    </w:p>
    <w:p/>
    <w:p>
      <w:pPr>
        <w:jc w:val="center"/>
      </w:pPr>
      <w:r>
        <w:rPr>
          <w:color w:val="ff0000"/>
        </w:rPr>
        <w:t xml:space="preserve">«كيف نومي على الفراش ولما</w:t>
      </w:r>
      <w:r>
        <w:rPr>
          <w:color w:val="ff0000"/>
        </w:rPr>
        <w:t xml:space="preserve">      </w:t>
      </w:r>
      <w:r>
        <w:rPr>
          <w:color w:val="ff0000"/>
        </w:rPr>
        <w:t xml:space="preserve">يشمل الشام غارة شعواء»</w:t>
      </w:r>
    </w:p>
    <w:p/>
    <w:p>
      <w:pPr>
        <w:jc w:val="center"/>
      </w:pPr>
      <w:r>
        <w:rPr>
          <w:color w:val="ff0000"/>
        </w:rPr>
        <w:t xml:space="preserve">«تذهل المرء عن بنيه وتبدي</w:t>
      </w:r>
      <w:r>
        <w:rPr>
          <w:color w:val="ff0000"/>
        </w:rPr>
        <w:t xml:space="preserve">      </w:t>
      </w:r>
      <w:r>
        <w:rPr>
          <w:color w:val="ff0000"/>
        </w:rPr>
        <w:t xml:space="preserve">عن خدام العقيلة العذراء»</w:t>
      </w:r>
    </w:p>
    <w:p/>
    <w:p>
      <w:pPr/>
      <w:r>
        <w:rPr/>
        <w:t xml:space="preserve">هذان البيتان لعبد الله بن قيس الرقيات ضمنهما .</w:t>
      </w:r>
    </w:p>
    <w:p>
      <w:pPr>
        <w:jc w:val="start"/>
        <w:bidi/>
      </w:pPr>
      <w:r>
        <w:rPr>
          <w:sz w:val="24"/>
          <w:szCs w:val="24"/>
          <w:b w:val="1"/>
          <w:bCs w:val="1"/>
          <w:rtl/>
        </w:rPr>
        <w:t xml:space="preserve">
معجم الأدباء / إرشاد الأريب إلى معرفة الأديب،(دار الغرب الإسلامي - بيروت،1993،ط 0،ج 6،ص 2478)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الجهم أبو عبد الله السمري
</w:t>
      </w:r>
    </w:p>
    <w:p>
      <w:pPr/>
      <w:r>
        <w:rPr/>
        <w:t xml:space="preserve">محمد بن الجهم أبو عبد الله السمري الإمام، العلامة، الأديب، أبو عبد الله السمري، الكاتب، تلميذ يحيى الفراء وراويه.</w:t>
      </w:r>
    </w:p>
    <w:p/>
    <w:p>
      <w:pPr/>
      <w:r>
        <w:rPr/>
        <w:t xml:space="preserve">سمع: يزيد بن هارون، وعبد الوهاب بن عطاء، وجعفر بن عون، ويعلى بن عبيد، وطبقتهم.</w:t>
      </w:r>
    </w:p>
    <w:p/>
    <w:p>
      <w:pPr/>
      <w:r>
        <w:rPr/>
        <w:t xml:space="preserve">حدث عنه: موسى بن هارون، وأبو بكر بن مجاهد، وإسماعيل الصفار، وأبو العباس الأصم، وأبو سهل بن زياد، وأبو بكر الشافعي، وخلق سواهم.</w:t>
      </w:r>
    </w:p>
    <w:p/>
    <w:p>
      <w:pPr/>
      <w:r>
        <w:rPr/>
        <w:t xml:space="preserve">قال الدارقطني: ثقة.</w:t>
      </w:r>
    </w:p>
    <w:p/>
    <w:p>
      <w:pPr/>
      <w:r>
        <w:rPr/>
        <w:t xml:space="preserve">وقال أبو عمرو الداني: أخذ القراءة عرضا  عن عائذ بن أبي عائذ، صاحب حمزة الزيات، وسمع الحروف من خلف بن هشام، وسليمان الهاشمي.</w:t>
      </w:r>
    </w:p>
    <w:p/>
    <w:p>
      <w:pPr/>
      <w:r>
        <w:rPr/>
        <w:t xml:space="preserve">أخذ عنه القراءة: ابن مجاهد، وجماعة.</w:t>
      </w:r>
    </w:p>
    <w:p/>
    <w:p>
      <w:pPr/>
      <w:r>
        <w:rPr/>
        <w:t xml:space="preserve">وكان من أئمة العربية العارفين بها.</w:t>
      </w:r>
    </w:p>
    <w:p/>
    <w:p>
      <w:pPr/>
      <w:r>
        <w:rPr/>
        <w:t xml:space="preserve">قلت: مات في جمادى الآخرة، سنة سبع وسبعين ومائتين، وعاش تسعا وثمانين سنة.</w:t>
      </w:r>
    </w:p>
    <w:p/>
    <w:p>
      <w:pPr/>
      <w:r>
        <w:rPr/>
        <w:t xml:space="preserve">يقع حديثه عاليا في (الغيلانيات).</w:t>
      </w:r>
    </w:p>
    <w:p>
      <w:pPr>
        <w:jc w:val="start"/>
        <w:bidi/>
      </w:pPr>
      <w:r>
        <w:rPr>
          <w:sz w:val="24"/>
          <w:szCs w:val="24"/>
          <w:b w:val="1"/>
          <w:bCs w:val="1"/>
          <w:rtl/>
        </w:rPr>
        <w:t xml:space="preserve">
سير أعلام النبلاء،(دار الحديث- القاهرة،2006،ط 0،ج 10،ص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الجهم بن هارون السّمّريّ أبو عبد الله
</w:t>
      </w:r>
    </w:p>
    <w:p>
      <w:pPr/>
      <w:r>
        <w:rPr/>
        <w:t xml:space="preserve">محمد بن الجهم بن هارون السّمّريّ أبو عبد الله </w:t>
      </w:r>
    </w:p>
    <w:p/>
    <w:p>
      <w:pPr/>
      <w:r>
        <w:rPr/>
        <w:t xml:space="preserve">صاحب الفرّاء يحيى بن زياد، روى عنه كتابه في “معاني القرآن”، وهو أحد الثقات من رواة المسند؛ وله شعر مذكور، وهو القائل يمدح الفرّاء ويصف مذهبه في النحو، وهي أبيات يقول فيها: خفيف:</w:t>
      </w:r>
    </w:p>
    <w:p/>
    <w:p>
      <w:pPr>
        <w:jc w:val="center"/>
      </w:pPr>
      <w:r>
        <w:rPr>
          <w:color w:val="ff0000"/>
        </w:rPr>
        <w:t xml:space="preserve">أكثر النحو يزعم الفرّاء</w:t>
      </w:r>
      <w:r>
        <w:rPr>
          <w:color w:val="ff0000"/>
        </w:rPr>
        <w:t xml:space="preserve">      </w:t>
      </w:r>
      <w:r>
        <w:rPr>
          <w:color w:val="ff0000"/>
        </w:rPr>
        <w:t xml:space="preserve">من وجوه تأويلهنّ الجزاء</w:t>
      </w:r>
    </w:p>
    <w:p/>
    <w:p>
      <w:pPr>
        <w:jc w:val="center"/>
      </w:pPr>
      <w:r>
        <w:rPr>
          <w:color w:val="ff0000"/>
        </w:rPr>
        <w:t xml:space="preserve">نحوه أحسن النحو فما في</w:t>
      </w:r>
      <w:r>
        <w:rPr>
          <w:color w:val="ff0000"/>
        </w:rPr>
        <w:t xml:space="preserve">      </w:t>
      </w:r>
      <w:r>
        <w:rPr>
          <w:color w:val="ff0000"/>
        </w:rPr>
        <w:t xml:space="preserve">ه معيب ولا به إزراء</w:t>
      </w:r>
    </w:p>
    <w:p/>
    <w:p>
      <w:pPr>
        <w:jc w:val="center"/>
      </w:pPr>
      <w:r>
        <w:rPr>
          <w:color w:val="ff0000"/>
        </w:rPr>
        <w:t xml:space="preserve">ليس من صنعة الضّعائف لكن</w:t>
      </w:r>
      <w:r>
        <w:rPr>
          <w:color w:val="ff0000"/>
        </w:rPr>
        <w:t xml:space="preserve">      </w:t>
      </w:r>
      <w:r>
        <w:rPr>
          <w:color w:val="ff0000"/>
        </w:rPr>
        <w:t xml:space="preserve">فيه فقه وحكمة وضياء</w:t>
      </w:r>
    </w:p>
    <w:p/>
    <w:p>
      <w:pPr>
        <w:jc w:val="center"/>
      </w:pPr>
      <w:r>
        <w:rPr>
          <w:color w:val="ff0000"/>
        </w:rPr>
        <w:t xml:space="preserve">وبيان تصغي القلوب إليه</w:t>
      </w:r>
      <w:r>
        <w:rPr>
          <w:color w:val="ff0000"/>
        </w:rPr>
        <w:t xml:space="preserve">      </w:t>
      </w:r>
      <w:r>
        <w:rPr>
          <w:color w:val="ff0000"/>
        </w:rPr>
        <w:t xml:space="preserve">يجتبيه الملوك والحكماء</w:t>
      </w:r>
    </w:p>
    <w:p/>
    <w:p>
      <w:pPr>
        <w:jc w:val="center"/>
      </w:pPr>
      <w:r>
        <w:rPr>
          <w:color w:val="ff0000"/>
        </w:rPr>
        <w:t xml:space="preserve">حجة توضح الصواب وما قا</w:t>
      </w:r>
      <w:r>
        <w:rPr>
          <w:color w:val="ff0000"/>
        </w:rPr>
        <w:t xml:space="preserve">      </w:t>
      </w:r>
      <w:r>
        <w:rPr>
          <w:color w:val="ff0000"/>
        </w:rPr>
        <w:t xml:space="preserve">ل بجهل، والجهل داء عياء</w:t>
      </w:r>
    </w:p>
    <w:p/>
    <w:p>
      <w:pPr>
        <w:jc w:val="center"/>
      </w:pPr>
      <w:r>
        <w:rPr>
          <w:color w:val="ff0000"/>
        </w:rPr>
        <w:t xml:space="preserve">وكأني أراه يملي علينا</w:t>
      </w:r>
      <w:r>
        <w:rPr>
          <w:color w:val="ff0000"/>
        </w:rPr>
        <w:t xml:space="preserve">      </w:t>
      </w:r>
      <w:r>
        <w:rPr>
          <w:color w:val="ff0000"/>
        </w:rPr>
        <w:t xml:space="preserve">وله واجباً علينا الدعاء</w:t>
      </w:r>
    </w:p>
    <w:p/>
    <w:p>
      <w:pPr>
        <w:jc w:val="center"/>
      </w:pPr>
      <w:r>
        <w:rPr>
          <w:color w:val="ff0000"/>
        </w:rPr>
        <w:t xml:space="preserve">كيف نومي على الفراش ولمّا</w:t>
      </w:r>
      <w:r>
        <w:rPr>
          <w:color w:val="ff0000"/>
        </w:rPr>
        <w:t xml:space="preserve">      </w:t>
      </w:r>
      <w:r>
        <w:rPr>
          <w:color w:val="ff0000"/>
        </w:rPr>
        <w:t xml:space="preserve">تشمل الشام غارة شعواء</w:t>
      </w:r>
    </w:p>
    <w:p/>
    <w:p>
      <w:pPr>
        <w:jc w:val="center"/>
      </w:pPr>
      <w:r>
        <w:rPr>
          <w:color w:val="ff0000"/>
        </w:rPr>
        <w:t xml:space="preserve">تذهل الشيخ عن بنيه وتبدي</w:t>
      </w:r>
      <w:r>
        <w:rPr>
          <w:color w:val="ff0000"/>
        </w:rPr>
        <w:t xml:space="preserve">      </w:t>
      </w:r>
      <w:r>
        <w:rPr>
          <w:color w:val="ff0000"/>
        </w:rPr>
        <w:t xml:space="preserve">عن خدام العقيل العذراء</w:t>
      </w:r>
    </w:p>
    <w:p/>
    <w:p>
      <w:pPr/>
      <w:r>
        <w:rPr/>
        <w:t xml:space="preserve">قاله أحمد بن علي الحافظ.</w:t>
      </w:r>
    </w:p>
    <w:p>
      <w:pPr>
        <w:jc w:val="start"/>
        <w:bidi/>
      </w:pPr>
      <w:r>
        <w:rPr>
          <w:sz w:val="24"/>
          <w:szCs w:val="24"/>
          <w:b w:val="1"/>
          <w:bCs w:val="1"/>
          <w:rtl/>
        </w:rPr>
        <w:t xml:space="preserve">
المحمدون من الشعراء،(دار اليمامة،1970،ط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2026-06-10T08:00:54+03:00</dcterms:created>
  <dcterms:modified xsi:type="dcterms:W3CDTF">2026-06-10T08:00:54+03:00</dcterms:modified>
</cp:coreProperties>
</file>

<file path=docProps/custom.xml><?xml version="1.0" encoding="utf-8"?>
<Properties xmlns="http://schemas.openxmlformats.org/officeDocument/2006/custom-properties" xmlns:vt="http://schemas.openxmlformats.org/officeDocument/2006/docPropsVTypes"/>
</file>