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بن أسباط الكندي أبو النضر المصري
</w:t>
      </w:r>
    </w:p>
    <w:p>
      <w:pPr>
        <w:jc w:val="start"/>
        <w:bidi/>
      </w:pPr>
      <w:r>
        <w:rPr>
          <w:rFonts w:ascii="arial" w:hAnsi="arial" w:eastAsia="arial" w:cs="arial"/>
          <w:sz w:val="28"/>
          <w:szCs w:val="28"/>
          <w:b w:val="1"/>
          <w:bCs w:val="1"/>
          <w:rtl/>
        </w:rPr>
        <w:t xml:space="preserve">محمد بن إسحاق بن أسباط الكندي أبو النضر المصري
</w:t>
      </w:r>
    </w:p>
    <w:p>
      <w:pPr/>
      <w:r>
        <w:rPr/>
        <w:t xml:space="preserve">محمد بن إسحاق بن أسباط الكندي أبو النضر المصري: ذكره أبو بكر الزبيدي، قال الزبيدي: أخذ عن الزجاج، وله كتاب في النحو سماه «كتاب العيون والنكت» ذهب فيه إلى حد الاسم والفعل والحرف، وتلا ذلك بذكر شيء من أبواب الياء والواو ولم يصنع شيئا.</w:t>
      </w:r>
    </w:p>
    <w:p/>
    <w:p>
      <w:pPr/>
      <w:r>
        <w:rPr/>
        <w:t xml:space="preserve">وقال ابن مسعر: نزل أبو النضر أنطاكية مدة ثم سار عنها إلى مصر، وله كتابان: كتاب التلقين. كتاب الموقظ. ورأيت أنا له كتاب المغني في النحو.</w:t>
      </w:r>
    </w:p>
    <w:p/>
    <w:p>
      <w:pPr/>
      <w:r>
        <w:rPr/>
        <w:t xml:space="preserve">وذكره ابن عبد الرحيم فقال: نقلت من خط أبي الحسن ابن الخطيب حدثنا الببغا قال: كان يجتمع معنا في خدمة سيف الدولة شيخ من أهل الأدب والتقدم في النحو وعلم المنطق ممن درس على الزجاج وأخذ عنه، يكنى بأبي النضر، وذكر اسمه ونسبه، وحكى أنه كان حسن الشعر، وأخبرنا أن الأبيات التي ينسبها قوم إلى ابن المغيرة وآخرون إلى أبي نضلة (قلت أنا: ووجدتها أنا في ديوان أبي القاسم التنوخي معزوة إلى أبي القاسم وتروى لغيرهم أيضا) أنها لأبي النضر من قديم شعره وأنشدها لنفسه، وهي:</w:t>
      </w:r>
    </w:p>
    <w:p/>
    <w:p>
      <w:pPr>
        <w:jc w:val="center"/>
      </w:pPr>
      <w:r>
        <w:rPr>
          <w:color w:val="ff0000"/>
        </w:rPr>
        <w:t xml:space="preserve">وكأس من الشمس مخلوقة</w:t>
      </w:r>
      <w:r>
        <w:rPr>
          <w:color w:val="ff0000"/>
        </w:rPr>
        <w:t xml:space="preserve">      </w:t>
      </w:r>
      <w:r>
        <w:rPr>
          <w:color w:val="ff0000"/>
        </w:rPr>
        <w:t xml:space="preserve">تضمنها قدح من نهار</w:t>
      </w:r>
    </w:p>
    <w:p/>
    <w:p>
      <w:pPr>
        <w:jc w:val="center"/>
      </w:pPr>
      <w:r>
        <w:rPr>
          <w:color w:val="ff0000"/>
        </w:rPr>
        <w:t xml:space="preserve">هواء ولكنه ساكن</w:t>
      </w:r>
      <w:r>
        <w:rPr>
          <w:color w:val="ff0000"/>
        </w:rPr>
        <w:t xml:space="preserve">      </w:t>
      </w:r>
      <w:r>
        <w:rPr>
          <w:color w:val="ff0000"/>
        </w:rPr>
        <w:t xml:space="preserve">وماء ولكنه غير جار</w:t>
      </w:r>
    </w:p>
    <w:p/>
    <w:p>
      <w:pPr>
        <w:jc w:val="center"/>
      </w:pPr>
      <w:r>
        <w:rPr>
          <w:color w:val="ff0000"/>
        </w:rPr>
        <w:t xml:space="preserve">فهذا النهاية في الإبيضاض</w:t>
      </w:r>
      <w:r>
        <w:rPr>
          <w:color w:val="ff0000"/>
        </w:rPr>
        <w:t xml:space="preserve">      </w:t>
      </w:r>
      <w:r>
        <w:rPr>
          <w:color w:val="ff0000"/>
        </w:rPr>
        <w:t xml:space="preserve">وهذا النهاية في الإحمرار</w:t>
      </w:r>
    </w:p>
    <w:p/>
    <w:p>
      <w:pPr>
        <w:jc w:val="center"/>
      </w:pPr>
      <w:r>
        <w:rPr>
          <w:color w:val="ff0000"/>
        </w:rPr>
        <w:t xml:space="preserve">وما كان في الحكم أن يوجدا</w:t>
      </w:r>
      <w:r>
        <w:rPr>
          <w:color w:val="ff0000"/>
        </w:rPr>
        <w:t xml:space="preserve">      </w:t>
      </w:r>
      <w:r>
        <w:rPr>
          <w:color w:val="ff0000"/>
        </w:rPr>
        <w:t xml:space="preserve">لفرط التنافي وفرط النفار</w:t>
      </w:r>
    </w:p>
    <w:p/>
    <w:p>
      <w:pPr>
        <w:jc w:val="center"/>
      </w:pPr>
      <w:r>
        <w:rPr>
          <w:color w:val="ff0000"/>
        </w:rPr>
        <w:t xml:space="preserve">ولكن تجاور سطحاهما ال</w:t>
      </w:r>
      <w:r>
        <w:rPr>
          <w:color w:val="ff0000"/>
        </w:rPr>
        <w:t xml:space="preserve">      </w:t>
      </w:r>
      <w:r>
        <w:rPr>
          <w:color w:val="ff0000"/>
        </w:rPr>
        <w:t xml:space="preserve">بسيطان فاجتمعا بالجوار</w:t>
      </w:r>
    </w:p>
    <w:p/>
    <w:p>
      <w:pPr>
        <w:jc w:val="center"/>
      </w:pPr>
      <w:r>
        <w:rPr>
          <w:color w:val="ff0000"/>
        </w:rPr>
        <w:t xml:space="preserve">كأن المدير لها باليمين</w:t>
      </w:r>
      <w:r>
        <w:rPr>
          <w:color w:val="ff0000"/>
        </w:rPr>
        <w:t xml:space="preserve">      </w:t>
      </w:r>
      <w:r>
        <w:rPr>
          <w:color w:val="ff0000"/>
        </w:rPr>
        <w:t xml:space="preserve">إذا طاف للسقي أو باليسار</w:t>
      </w:r>
    </w:p>
    <w:p/>
    <w:p>
      <w:pPr>
        <w:jc w:val="center"/>
      </w:pPr>
      <w:r>
        <w:rPr>
          <w:color w:val="ff0000"/>
        </w:rPr>
        <w:t xml:space="preserve">تدرع ثوبا من الياسمين</w:t>
      </w:r>
      <w:r>
        <w:rPr>
          <w:color w:val="ff0000"/>
        </w:rPr>
        <w:t xml:space="preserve">      </w:t>
      </w:r>
      <w:r>
        <w:rPr>
          <w:color w:val="ff0000"/>
        </w:rPr>
        <w:t xml:space="preserve">له فرد كم من الجلنار</w:t>
      </w:r>
    </w:p>
    <w:p/>
    <w:p>
      <w:pPr/>
      <w:r>
        <w:rPr/>
        <w:t xml:space="preserve">وقد أورد التنوخي هذه الحكاية في «كتاب النشوار» وحكى أن أبا النضر كان عالما بالهندسة قيما بعلوم الأوائل.</w:t>
      </w:r>
    </w:p>
    <w:p/>
    <w:p>
      <w:pPr/>
      <w:r>
        <w:rPr/>
        <w:t xml:space="preserve">ولأبي النضر أيضا:</w:t>
      </w:r>
    </w:p>
    <w:p/>
    <w:p>
      <w:pPr>
        <w:jc w:val="center"/>
      </w:pPr>
      <w:r>
        <w:rPr>
          <w:color w:val="ff0000"/>
        </w:rPr>
        <w:t xml:space="preserve">هات اسقني بالكبير وانتخب</w:t>
      </w:r>
      <w:r>
        <w:rPr>
          <w:color w:val="ff0000"/>
        </w:rPr>
        <w:t xml:space="preserve">      </w:t>
      </w:r>
      <w:r>
        <w:rPr>
          <w:color w:val="ff0000"/>
        </w:rPr>
        <w:t xml:space="preserve">نافية للهموم والكرب</w:t>
      </w:r>
    </w:p>
    <w:p/>
    <w:p>
      <w:pPr>
        <w:jc w:val="center"/>
      </w:pPr>
      <w:r>
        <w:rPr>
          <w:color w:val="ff0000"/>
        </w:rPr>
        <w:t xml:space="preserve">فلو تراني إذا انتشيت وقد</w:t>
      </w:r>
      <w:r>
        <w:rPr>
          <w:color w:val="ff0000"/>
        </w:rPr>
        <w:t xml:space="preserve">      </w:t>
      </w:r>
      <w:r>
        <w:rPr>
          <w:color w:val="ff0000"/>
        </w:rPr>
        <w:t xml:space="preserve">حركت كفي بها من الطرب</w:t>
      </w:r>
    </w:p>
    <w:p/>
    <w:p>
      <w:pPr>
        <w:jc w:val="center"/>
      </w:pPr>
      <w:r>
        <w:rPr>
          <w:color w:val="ff0000"/>
        </w:rPr>
        <w:t xml:space="preserve">لخلتني لا بسا مشهرة</w:t>
      </w:r>
      <w:r>
        <w:rPr>
          <w:color w:val="ff0000"/>
        </w:rPr>
        <w:t xml:space="preserve">      </w:t>
      </w:r>
      <w:r>
        <w:rPr>
          <w:color w:val="ff0000"/>
        </w:rPr>
        <w:t xml:space="preserve">من لازورد يشف عن ذهب</w:t>
      </w:r>
    </w:p>
    <w:p/>
    <w:p>
      <w:pPr/>
      <w:r>
        <w:rPr/>
        <w:t xml:space="preserve">وقال أبو علي التنوخي: أنشدني أبو عمر ابن جعفر الخلال لأبي النضر المصري النحوي من قصيدة يذكر فيها رجلا مدحه قال: وكان متسعا في الشعر الجيد المستحسن:</w:t>
      </w:r>
    </w:p>
    <w:p/>
    <w:p>
      <w:pPr>
        <w:jc w:val="center"/>
      </w:pPr>
      <w:r>
        <w:rPr>
          <w:color w:val="ff0000"/>
        </w:rPr>
        <w:t xml:space="preserve">ورأيت أحمدنا وسيدنا</w:t>
      </w:r>
      <w:r>
        <w:rPr>
          <w:color w:val="ff0000"/>
        </w:rPr>
        <w:t xml:space="preserve">      </w:t>
      </w:r>
      <w:r>
        <w:rPr>
          <w:color w:val="ff0000"/>
        </w:rPr>
        <w:t xml:space="preserve">متصدرا للورد والصدر</w:t>
      </w:r>
    </w:p>
    <w:p/>
    <w:p>
      <w:pPr>
        <w:jc w:val="center"/>
      </w:pPr>
      <w:r>
        <w:rPr>
          <w:color w:val="ff0000"/>
        </w:rPr>
        <w:t xml:space="preserve">خلت النجوم خلقن دائرة</w:t>
      </w:r>
      <w:r>
        <w:rPr>
          <w:color w:val="ff0000"/>
        </w:rPr>
        <w:t xml:space="preserve">      </w:t>
      </w:r>
      <w:r>
        <w:rPr>
          <w:color w:val="ff0000"/>
        </w:rPr>
        <w:t xml:space="preserve">موصولة الطرفين بالقمر</w:t>
      </w:r>
    </w:p>
    <w:p/>
    <w:p>
      <w:pPr>
        <w:jc w:val="start"/>
        <w:bidi/>
      </w:pPr>
      <w:r>
        <w:rPr>
          <w:sz w:val="24"/>
          <w:szCs w:val="24"/>
          <w:b w:val="1"/>
          <w:bCs w:val="1"/>
          <w:rtl/>
        </w:rPr>
        <w:t xml:space="preserve">
معجم الأدباء / إرشاد الأريب إلى معرفة الأديب،(دار الغرب الإسلامي - بيروت،1993،ط 0،ج 6،ص 2425)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أسباط
</w:t>
      </w:r>
    </w:p>
    <w:p>
      <w:pPr/>
      <w:r>
        <w:rPr/>
        <w:t xml:space="preserve">محمد بن إسحاق بن أسباط </w:t>
      </w:r>
    </w:p>
    <w:p/>
    <w:p>
      <w:pPr/>
      <w:r>
        <w:rPr/>
        <w:t xml:space="preserve">أبو النضر، صاحب الزجاج. له كتاب العيون والنكت في النحو </w:t>
      </w:r>
    </w:p>
    <w:p>
      <w:pPr>
        <w:jc w:val="start"/>
        <w:bidi/>
      </w:pPr>
      <w:r>
        <w:rPr>
          <w:sz w:val="24"/>
          <w:szCs w:val="24"/>
          <w:b w:val="1"/>
          <w:bCs w:val="1"/>
          <w:rtl/>
        </w:rPr>
        <w:t xml:space="preserve">
البلغة فى تراجم أئمة النحو واللغة،(جمعية إحياء التراث الإسلامي - الكويت،1986،ط 1،ج 1،ص 61)/(دار سعد الدين للطباعة والنشر والتوزيع،2000،ط 1،ج 1،ص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أسباط النحوي المصري أبو النّضر
</w:t>
      </w:r>
    </w:p>
    <w:p>
      <w:pPr/>
      <w:r>
        <w:rPr/>
        <w:t xml:space="preserve">محمد بن إسحاق بن أسباط النحوي المصري أبو النّضر </w:t>
      </w:r>
    </w:p>
    <w:p/>
    <w:p>
      <w:pPr/>
      <w:r>
        <w:rPr/>
        <w:t xml:space="preserve">شيخ من أهل الأدب، والتقدم في النحو وعلم المنطق، ممن درس على الزّجّاج وأخذ عنه، كان حسن الشعر، وكان يحضر مجلس سيف الدولة مع الأدباء والفضلاء والشعراء، وذكر أن الأبيات التي ينسبها قوم إلى ابن المغيرة وآخرون إلى أبي نضلة وغيرهم من قديم شعره، وهي: متقارب: </w:t>
      </w:r>
    </w:p>
    <w:p/>
    <w:p>
      <w:pPr>
        <w:jc w:val="center"/>
      </w:pPr>
      <w:r>
        <w:rPr>
          <w:color w:val="ff0000"/>
        </w:rPr>
        <w:t xml:space="preserve">وكأسٍ من الشمس مخلوقة</w:t>
      </w:r>
      <w:r>
        <w:rPr>
          <w:color w:val="ff0000"/>
        </w:rPr>
        <w:t xml:space="preserve">      </w:t>
      </w:r>
      <w:r>
        <w:rPr>
          <w:color w:val="ff0000"/>
        </w:rPr>
        <w:t xml:space="preserve">تضمّنها قدحٌ من نهار</w:t>
      </w:r>
    </w:p>
    <w:p/>
    <w:p>
      <w:pPr>
        <w:jc w:val="center"/>
      </w:pPr>
      <w:r>
        <w:rPr>
          <w:color w:val="ff0000"/>
        </w:rPr>
        <w:t xml:space="preserve">هواء ولكنه ساكنٌ</w:t>
      </w:r>
      <w:r>
        <w:rPr>
          <w:color w:val="ff0000"/>
        </w:rPr>
        <w:t xml:space="preserve">      </w:t>
      </w:r>
      <w:r>
        <w:rPr>
          <w:color w:val="ff0000"/>
        </w:rPr>
        <w:t xml:space="preserve">وماء ولكنه غير جار</w:t>
      </w:r>
    </w:p>
    <w:p/>
    <w:p>
      <w:pPr>
        <w:jc w:val="center"/>
      </w:pPr>
      <w:r>
        <w:rPr>
          <w:color w:val="ff0000"/>
        </w:rPr>
        <w:t xml:space="preserve">فهذا النهاية في الإبيضاض</w:t>
      </w:r>
      <w:r>
        <w:rPr>
          <w:color w:val="ff0000"/>
        </w:rPr>
        <w:t xml:space="preserve">      </w:t>
      </w:r>
      <w:r>
        <w:rPr>
          <w:color w:val="ff0000"/>
        </w:rPr>
        <w:t xml:space="preserve">وهذا النهاية في الإحمرار</w:t>
      </w:r>
    </w:p>
    <w:p/>
    <w:p>
      <w:pPr>
        <w:jc w:val="center"/>
      </w:pPr>
      <w:r>
        <w:rPr>
          <w:color w:val="ff0000"/>
        </w:rPr>
        <w:t xml:space="preserve">وما كان في الحكم أن يوجدا</w:t>
      </w:r>
      <w:r>
        <w:rPr>
          <w:color w:val="ff0000"/>
        </w:rPr>
        <w:t xml:space="preserve">      </w:t>
      </w:r>
      <w:r>
        <w:rPr>
          <w:color w:val="ff0000"/>
        </w:rPr>
        <w:t xml:space="preserve">لفرط التنافي وفرط النّفار</w:t>
      </w:r>
    </w:p>
    <w:p/>
    <w:p>
      <w:pPr>
        <w:jc w:val="center"/>
      </w:pPr>
      <w:r>
        <w:rPr>
          <w:color w:val="ff0000"/>
        </w:rPr>
        <w:t xml:space="preserve">ولكن تجاور سطحاهما ال</w:t>
      </w:r>
      <w:r>
        <w:rPr>
          <w:color w:val="ff0000"/>
        </w:rPr>
        <w:t xml:space="preserve">      </w:t>
      </w:r>
      <w:r>
        <w:rPr>
          <w:color w:val="ff0000"/>
        </w:rPr>
        <w:t xml:space="preserve">بسيطان فاجتمعا بالجوار</w:t>
      </w:r>
    </w:p>
    <w:p/>
    <w:p>
      <w:pPr>
        <w:jc w:val="center"/>
      </w:pPr>
      <w:r>
        <w:rPr>
          <w:color w:val="ff0000"/>
        </w:rPr>
        <w:t xml:space="preserve">كأنّ المدير لها باليمين</w:t>
      </w:r>
      <w:r>
        <w:rPr>
          <w:color w:val="ff0000"/>
        </w:rPr>
        <w:t xml:space="preserve">      </w:t>
      </w:r>
      <w:r>
        <w:rPr>
          <w:color w:val="ff0000"/>
        </w:rPr>
        <w:t xml:space="preserve">إذا طاف للسّقي أو باليسار</w:t>
      </w:r>
    </w:p>
    <w:p/>
    <w:p>
      <w:pPr>
        <w:jc w:val="center"/>
      </w:pPr>
      <w:r>
        <w:rPr>
          <w:color w:val="ff0000"/>
        </w:rPr>
        <w:t xml:space="preserve">تدرّع ثوباً من الياسمين</w:t>
      </w:r>
      <w:r>
        <w:rPr>
          <w:color w:val="ff0000"/>
        </w:rPr>
        <w:t xml:space="preserve">      </w:t>
      </w:r>
      <w:r>
        <w:rPr>
          <w:color w:val="ff0000"/>
        </w:rPr>
        <w:t xml:space="preserve">له فرد كمٍّ من الجلّنار</w:t>
      </w:r>
    </w:p>
    <w:p/>
    <w:p>
      <w:pPr/>
      <w:r>
        <w:rPr/>
        <w:t xml:space="preserve">وكان أبو النضر عالماً بالهندسة قيّماً بعلوم الأوائل، وله أيضاً: منسرح:</w:t>
      </w:r>
    </w:p>
    <w:p/>
    <w:p>
      <w:pPr>
        <w:jc w:val="center"/>
      </w:pPr>
      <w:r>
        <w:rPr>
          <w:color w:val="ff0000"/>
        </w:rPr>
        <w:t xml:space="preserve">هات اسقني بالكبير وانتخب</w:t>
      </w:r>
      <w:r>
        <w:rPr>
          <w:color w:val="ff0000"/>
        </w:rPr>
        <w:t xml:space="preserve">      </w:t>
      </w:r>
      <w:r>
        <w:rPr>
          <w:color w:val="ff0000"/>
        </w:rPr>
        <w:t xml:space="preserve">نافيةً للهموم والكرب</w:t>
      </w:r>
    </w:p>
    <w:p/>
    <w:p>
      <w:pPr>
        <w:jc w:val="center"/>
      </w:pPr>
      <w:r>
        <w:rPr>
          <w:color w:val="ff0000"/>
        </w:rPr>
        <w:t xml:space="preserve">فلو تراني إذا انتشيت وقد</w:t>
      </w:r>
      <w:r>
        <w:rPr>
          <w:color w:val="ff0000"/>
        </w:rPr>
        <w:t xml:space="preserve">      </w:t>
      </w:r>
      <w:r>
        <w:rPr>
          <w:color w:val="ff0000"/>
        </w:rPr>
        <w:t xml:space="preserve">حرّكت كفي بها من الطرب</w:t>
      </w:r>
    </w:p>
    <w:p/>
    <w:p>
      <w:pPr>
        <w:jc w:val="center"/>
      </w:pPr>
      <w:r>
        <w:rPr>
          <w:color w:val="ff0000"/>
        </w:rPr>
        <w:t xml:space="preserve">لخلتني لابساً مشهّرة</w:t>
      </w:r>
      <w:r>
        <w:rPr>
          <w:color w:val="ff0000"/>
        </w:rPr>
        <w:t xml:space="preserve">      </w:t>
      </w:r>
      <w:r>
        <w:rPr>
          <w:color w:val="ff0000"/>
        </w:rPr>
        <w:t xml:space="preserve">من لازوردٍ يشفّ عن ذهب</w:t>
      </w:r>
    </w:p>
    <w:p/>
    <w:p>
      <w:pPr>
        <w:jc w:val="start"/>
        <w:bidi/>
      </w:pPr>
      <w:r>
        <w:rPr>
          <w:sz w:val="24"/>
          <w:szCs w:val="24"/>
          <w:b w:val="1"/>
          <w:bCs w:val="1"/>
          <w:rtl/>
        </w:rPr>
        <w:t xml:space="preserve">
المحمدون من الشعراء،(دار اليمامة،1970،ط 1،ج 1،ص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2026-05-17T02:49:27+03:00</dcterms:created>
  <dcterms:modified xsi:type="dcterms:W3CDTF">2026-05-17T02:49:27+03:00</dcterms:modified>
</cp:coreProperties>
</file>

<file path=docProps/custom.xml><?xml version="1.0" encoding="utf-8"?>
<Properties xmlns="http://schemas.openxmlformats.org/officeDocument/2006/custom-properties" xmlns:vt="http://schemas.openxmlformats.org/officeDocument/2006/docPropsVTypes"/>
</file>