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عمر الخلال أبو الغنائم اللغوي
</w:t>
      </w:r>
    </w:p>
    <w:p>
      <w:pPr>
        <w:jc w:val="start"/>
        <w:bidi/>
      </w:pPr>
      <w:r>
        <w:rPr>
          <w:rFonts w:ascii="arial" w:hAnsi="arial" w:eastAsia="arial" w:cs="arial"/>
          <w:sz w:val="28"/>
          <w:szCs w:val="28"/>
          <w:b w:val="1"/>
          <w:bCs w:val="1"/>
          <w:rtl/>
        </w:rPr>
        <w:t xml:space="preserve">محمد بن أحمد بن عمر الخلال أبو الغنائم اللغوي
</w:t>
      </w:r>
    </w:p>
    <w:p>
      <w:pPr/>
      <w:r>
        <w:rPr/>
        <w:t xml:space="preserve">محمد بن أحمد بن عمر الخلال أبو الغنائم اللغوي إمام عالم جيد الضبط صحيح الخط معتمد عليه معتبر، أخذ عن أبي سعيد السيرافي وأبي علي الفارسي وأبي الحسن الرماني وتلك الطبقة.</w:t>
      </w:r>
    </w:p>
    <w:p>
      <w:pPr>
        <w:jc w:val="start"/>
        <w:bidi/>
      </w:pPr>
      <w:r>
        <w:rPr>
          <w:sz w:val="24"/>
          <w:szCs w:val="24"/>
          <w:b w:val="1"/>
          <w:bCs w:val="1"/>
          <w:rtl/>
        </w:rPr>
        <w:t xml:space="preserve">
معجم الأدباء / إرشاد الأريب إلى معرفة الأديب،(دار الغرب الإسلامي - بيروت،1993،ط 0،ج 5،ص 2346)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2026-06-10T07:59:01+03:00</dcterms:created>
  <dcterms:modified xsi:type="dcterms:W3CDTF">2026-06-10T07:59:01+03:00</dcterms:modified>
</cp:coreProperties>
</file>

<file path=docProps/custom.xml><?xml version="1.0" encoding="utf-8"?>
<Properties xmlns="http://schemas.openxmlformats.org/officeDocument/2006/custom-properties" xmlns:vt="http://schemas.openxmlformats.org/officeDocument/2006/docPropsVTypes"/>
</file>