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أبي عمرو إسحاق بن مرار الشيباني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أبي عمرو إسحاق بن مرار الشيباني
</w:t>
      </w:r>
    </w:p>
    <w:p>
      <w:pPr/>
      <w:r>
        <w:rPr/>
        <w:t xml:space="preserve">عمرو بن أبي عمرو إسحاق بن مرار الشيباني: قد تقدم ذكر نسبه وولائه عند ذكر أبيه، وكان عمرو هذا قد أخذ علم أبيه وتصدر للقراءة عليه وأبوه حي. مات سنة إحدى وثلاثين ومائتين، وقال الأزهري: مات سنة اثنتين وثلاثين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5،ص 2100)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أبي عمرو الشيباني
</w:t>
      </w:r>
    </w:p>
    <w:p>
      <w:pPr/>
      <w:r>
        <w:rPr/>
        <w:t xml:space="preserve">عمرو بن أبي عمرو الشيباني </w:t>
      </w:r>
    </w:p>
    <w:p/>
    <w:p>
      <w:pPr/>
      <w:r>
        <w:rPr/>
        <w:t xml:space="preserve">توفي سنة إحدى وثلاثين ومائتين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البلغة فى تراجم أئمة النحو واللغة،(جمعية إحياء التراث الإسلامي - الكويت،1986،ط 1،ج 1،ص 50)/(دار سعد الدين للطباعة والنشر والتوزيع،2000،ط 1،ج 1،ص 224)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2026-05-17T04:53:27+03:00</dcterms:created>
  <dcterms:modified xsi:type="dcterms:W3CDTF">2026-05-17T04:53:27+03:00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