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جعفر بن محمد الزعفراني أبو القاسم
</w:t>
      </w:r>
    </w:p>
    <w:p>
      <w:pPr>
        <w:jc w:val="start"/>
        <w:bidi/>
      </w:pPr>
      <w:r>
        <w:rPr>
          <w:rFonts w:ascii="arial" w:hAnsi="arial" w:eastAsia="arial" w:cs="arial"/>
          <w:sz w:val="28"/>
          <w:szCs w:val="28"/>
          <w:b w:val="1"/>
          <w:bCs w:val="1"/>
          <w:rtl/>
        </w:rPr>
        <w:t xml:space="preserve">عمر بن جعفر بن محمد الزعفراني أبو القاسم
</w:t>
      </w:r>
    </w:p>
    <w:p>
      <w:pPr/>
      <w:r>
        <w:rPr/>
        <w:t xml:space="preserve">عمر بن جعفر بن محمد الزعفراني أبو القاسم: يلقب دومى، أحد أعيان أهل الأدب المخصصين بمعرفة علم الشعر من القوافي والعروض وغير ذلك، ذكره محمد بن إسحاق النديم، وكان في عصره. وله كتاب العروض في خمس مجلدات ضخمة رأيتها بخطه في وقف جامع حلب. وله كتاب القوافي. كتاب اللغات (ذكرهما ابن النديم) .</w:t>
      </w:r>
    </w:p>
    <w:p>
      <w:pPr>
        <w:jc w:val="start"/>
        <w:bidi/>
      </w:pPr>
      <w:r>
        <w:rPr>
          <w:sz w:val="24"/>
          <w:szCs w:val="24"/>
          <w:b w:val="1"/>
          <w:bCs w:val="1"/>
          <w:rtl/>
        </w:rPr>
        <w:t xml:space="preserve">
معجم الأدباء / إرشاد الأريب إلى معرفة الأديب،(دار الغرب الإسلامي - بيروت،1993،ط 0،ج 5،ص 2092)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2026-05-17T04:51:55+03:00</dcterms:created>
  <dcterms:modified xsi:type="dcterms:W3CDTF">2026-05-17T04:51:55+03:00</dcterms:modified>
</cp:coreProperties>
</file>

<file path=docProps/custom.xml><?xml version="1.0" encoding="utf-8"?>
<Properties xmlns="http://schemas.openxmlformats.org/officeDocument/2006/custom-properties" xmlns:vt="http://schemas.openxmlformats.org/officeDocument/2006/docPropsVTypes"/>
</file>